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displacedByCustomXml="next"/>
    <w:bookmarkStart w:id="1" w:name="_Toc443397153" w:displacedByCustomXml="next"/>
    <w:bookmarkStart w:id="2" w:name="_Toc357771638" w:displacedByCustomXml="next"/>
    <w:bookmarkStart w:id="3" w:name="_Toc346793416" w:displacedByCustomXml="next"/>
    <w:bookmarkStart w:id="4" w:name="_Toc328122777" w:displacedByCustomXml="next"/>
    <w:sdt>
      <w:sdtPr>
        <w:id w:val="-1124615178"/>
        <w:docPartObj>
          <w:docPartGallery w:val="Cover Pages"/>
          <w:docPartUnique/>
        </w:docPartObj>
      </w:sdtPr>
      <w:sdtEndPr>
        <w:rPr>
          <w:b/>
          <w:iCs/>
          <w:sz w:val="20"/>
        </w:rPr>
      </w:sdtEndPr>
      <w:sdtContent>
        <w:p w14:paraId="59857A7A" w14:textId="77777777" w:rsidR="00D8007E" w:rsidRDefault="00D8007E" w:rsidP="00D8007E">
          <w:pPr>
            <w:jc w:val="center"/>
          </w:pPr>
        </w:p>
        <w:p w14:paraId="050E7388" w14:textId="77777777" w:rsidR="00D8007E" w:rsidRDefault="00D8007E" w:rsidP="00D8007E">
          <w:pPr>
            <w:jc w:val="center"/>
          </w:pPr>
          <w:r>
            <w:rPr>
              <w:noProof/>
            </w:rPr>
            <w:drawing>
              <wp:inline distT="0" distB="0" distL="0" distR="0" wp14:anchorId="3051E1DB" wp14:editId="30104A71">
                <wp:extent cx="3813048" cy="3811520"/>
                <wp:effectExtent l="0" t="0" r="0" b="0"/>
                <wp:docPr id="3"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13048" cy="3811520"/>
                        </a:xfrm>
                        <a:prstGeom prst="rect">
                          <a:avLst/>
                        </a:prstGeom>
                        <a:noFill/>
                        <a:ln>
                          <a:noFill/>
                          <a:prstDash/>
                        </a:ln>
                      </pic:spPr>
                    </pic:pic>
                  </a:graphicData>
                </a:graphic>
              </wp:inline>
            </w:drawing>
          </w:r>
        </w:p>
        <w:p w14:paraId="7BAA3EB0" w14:textId="3A7305D8" w:rsidR="00D8007E" w:rsidRDefault="00D8007E" w:rsidP="00D8007E">
          <w:pPr>
            <w:jc w:val="center"/>
          </w:pPr>
        </w:p>
        <w:p w14:paraId="69B41059" w14:textId="784B5A90" w:rsidR="00D8007E" w:rsidRDefault="00D8007E" w:rsidP="00D8007E">
          <w:pPr>
            <w:jc w:val="center"/>
          </w:pPr>
        </w:p>
        <w:p w14:paraId="53A835E7" w14:textId="3179CF36" w:rsidR="00D8007E" w:rsidRDefault="00D8007E" w:rsidP="00D8007E">
          <w:pPr>
            <w:jc w:val="center"/>
          </w:pPr>
        </w:p>
        <w:p w14:paraId="64EB5685" w14:textId="3FE47A63" w:rsidR="00D8007E" w:rsidRPr="00D8007E" w:rsidRDefault="00D8007E" w:rsidP="00D8007E">
          <w:pPr>
            <w:jc w:val="center"/>
            <w:rPr>
              <w:rFonts w:cs="Arial"/>
              <w:b/>
              <w:color w:val="00B050"/>
              <w:sz w:val="96"/>
              <w:szCs w:val="72"/>
              <w:lang w:eastAsia="ja-JP"/>
            </w:rPr>
          </w:pPr>
          <w:r w:rsidRPr="00D8007E">
            <w:rPr>
              <w:rFonts w:cs="Arial"/>
              <w:b/>
              <w:color w:val="00B050"/>
              <w:sz w:val="96"/>
              <w:szCs w:val="72"/>
              <w:lang w:eastAsia="ja-JP"/>
            </w:rPr>
            <w:t>Bedford Drive Primary School</w:t>
          </w:r>
        </w:p>
        <w:p w14:paraId="33631C2F" w14:textId="45818BED" w:rsidR="00D8007E" w:rsidRPr="00D8007E" w:rsidRDefault="00D8007E" w:rsidP="00D8007E">
          <w:pPr>
            <w:pStyle w:val="NoSpacing"/>
            <w:jc w:val="center"/>
            <w:rPr>
              <w:rFonts w:cs="Arial"/>
              <w:b/>
              <w:color w:val="000000"/>
              <w:sz w:val="72"/>
              <w:szCs w:val="80"/>
              <w:lang w:eastAsia="ja-JP"/>
            </w:rPr>
          </w:pPr>
          <w:r w:rsidRPr="00D8007E">
            <w:rPr>
              <w:rFonts w:cs="Arial"/>
              <w:b/>
              <w:color w:val="000000"/>
              <w:sz w:val="72"/>
              <w:szCs w:val="80"/>
              <w:lang w:eastAsia="ja-JP"/>
            </w:rPr>
            <w:t>Pupil Premium Strategy</w:t>
          </w:r>
        </w:p>
        <w:p w14:paraId="15E1DCDD" w14:textId="5606F1BB" w:rsidR="00D8007E" w:rsidRDefault="00D8007E" w:rsidP="00D8007E">
          <w:pPr>
            <w:pStyle w:val="NoSpacing"/>
            <w:jc w:val="center"/>
            <w:rPr>
              <w:rFonts w:cs="Arial"/>
              <w:b/>
              <w:color w:val="000000"/>
              <w:sz w:val="72"/>
              <w:szCs w:val="80"/>
              <w:lang w:eastAsia="ja-JP"/>
            </w:rPr>
          </w:pPr>
        </w:p>
        <w:p w14:paraId="5AB3EA6D" w14:textId="716AA5C9" w:rsidR="00D8007E" w:rsidRDefault="00D8007E" w:rsidP="00D8007E">
          <w:r>
            <w:rPr>
              <w:rFonts w:cs="Arial"/>
              <w:b/>
              <w:sz w:val="20"/>
            </w:rPr>
            <w:t>Last Updated:</w:t>
          </w:r>
          <w:r w:rsidR="0079782B">
            <w:rPr>
              <w:rFonts w:cs="Arial"/>
              <w:sz w:val="20"/>
            </w:rPr>
            <w:t xml:space="preserve"> 1</w:t>
          </w:r>
          <w:r w:rsidR="0079782B" w:rsidRPr="0079782B">
            <w:rPr>
              <w:rFonts w:cs="Arial"/>
              <w:sz w:val="20"/>
              <w:vertAlign w:val="superscript"/>
            </w:rPr>
            <w:t>st</w:t>
          </w:r>
          <w:r w:rsidR="009B0314">
            <w:rPr>
              <w:rFonts w:cs="Arial"/>
              <w:sz w:val="20"/>
            </w:rPr>
            <w:t xml:space="preserve"> September 2023</w:t>
          </w:r>
        </w:p>
        <w:p w14:paraId="63747922" w14:textId="77777777" w:rsidR="00D8007E" w:rsidRDefault="00D8007E" w:rsidP="00D8007E">
          <w:pPr>
            <w:pStyle w:val="NoSpacing"/>
            <w:jc w:val="center"/>
            <w:rPr>
              <w:color w:val="4F81BD" w:themeColor="accent1"/>
              <w:sz w:val="28"/>
              <w:szCs w:val="28"/>
            </w:rPr>
          </w:pPr>
        </w:p>
        <w:p w14:paraId="781EA5DC" w14:textId="7231A326" w:rsidR="00D8007E" w:rsidRPr="00D8007E" w:rsidRDefault="00E422D2" w:rsidP="00D8007E">
          <w:pPr>
            <w:jc w:val="center"/>
          </w:pPr>
        </w:p>
      </w:sdtContent>
    </w:sdt>
    <w:p w14:paraId="2A7D54B1" w14:textId="77614A37"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1"/>
      <w:bookmarkEnd w:id="0"/>
    </w:p>
    <w:p w14:paraId="2A7D54B2" w14:textId="3F057C07" w:rsidR="00E66558" w:rsidRDefault="009D71E8">
      <w:pPr>
        <w:pStyle w:val="Heading2"/>
        <w:rPr>
          <w:b w:val="0"/>
          <w:bCs/>
          <w:color w:val="auto"/>
          <w:sz w:val="24"/>
          <w:szCs w:val="24"/>
        </w:rPr>
      </w:pPr>
      <w:r>
        <w:rPr>
          <w:b w:val="0"/>
          <w:bCs/>
          <w:color w:val="auto"/>
          <w:sz w:val="24"/>
          <w:szCs w:val="24"/>
        </w:rPr>
        <w:t>This statement details our school’s use of pupil premium (a</w:t>
      </w:r>
      <w:r w:rsidR="00983B87">
        <w:rPr>
          <w:b w:val="0"/>
          <w:bCs/>
          <w:color w:val="auto"/>
          <w:sz w:val="24"/>
          <w:szCs w:val="24"/>
        </w:rPr>
        <w:t>nd recovery premium for the 2023</w:t>
      </w:r>
      <w:r>
        <w:rPr>
          <w:b w:val="0"/>
          <w:bCs/>
          <w:color w:val="auto"/>
          <w:sz w:val="24"/>
          <w:szCs w:val="24"/>
        </w:rPr>
        <w:t xml:space="preserve"> to </w:t>
      </w:r>
      <w:r w:rsidR="00983B87">
        <w:rPr>
          <w:b w:val="0"/>
          <w:bCs/>
          <w:color w:val="auto"/>
          <w:sz w:val="24"/>
          <w:szCs w:val="24"/>
        </w:rPr>
        <w:t>2024</w:t>
      </w:r>
      <w:r>
        <w:rPr>
          <w:b w:val="0"/>
          <w:bCs/>
          <w:color w:val="auto"/>
          <w:sz w:val="24"/>
          <w:szCs w:val="24"/>
        </w:rPr>
        <w:t xml:space="preserve"> academic year) funding to help improve the attainment of our disadvantaged pupils. </w:t>
      </w:r>
    </w:p>
    <w:p w14:paraId="2A7D54B3" w14:textId="057A2D91"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3B32C01C" w14:textId="776D0F7A" w:rsidR="00D8007E" w:rsidRPr="00D8007E" w:rsidRDefault="00D8007E" w:rsidP="00D8007E">
      <w:r>
        <w:t>This statement follows new Department for Education guidance issued for schools from September 2021.</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C64D11"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C64D11" w:rsidRDefault="00C64D11" w:rsidP="00C64D11">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A3D0B4E" w:rsidR="00C64D11" w:rsidRPr="00C64D11" w:rsidRDefault="00C64D11" w:rsidP="00C64D11">
            <w:pPr>
              <w:pStyle w:val="TableRow"/>
              <w:rPr>
                <w:sz w:val="20"/>
                <w:szCs w:val="20"/>
              </w:rPr>
            </w:pPr>
            <w:r w:rsidRPr="00C64D11">
              <w:rPr>
                <w:rStyle w:val="PlaceholderText"/>
                <w:color w:val="auto"/>
                <w:sz w:val="20"/>
                <w:szCs w:val="20"/>
              </w:rPr>
              <w:t>Bedford Drive Primary School</w:t>
            </w:r>
          </w:p>
        </w:tc>
      </w:tr>
      <w:tr w:rsidR="00C64D11"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C64D11" w:rsidRDefault="00C64D11" w:rsidP="00C64D11">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496B385" w:rsidR="00C64D11" w:rsidRPr="003F7C01" w:rsidRDefault="003F7C01" w:rsidP="00C64D11">
            <w:pPr>
              <w:pStyle w:val="TableRow"/>
              <w:rPr>
                <w:color w:val="auto"/>
                <w:sz w:val="20"/>
                <w:szCs w:val="20"/>
              </w:rPr>
            </w:pPr>
            <w:r w:rsidRPr="003F7C01">
              <w:rPr>
                <w:color w:val="auto"/>
                <w:sz w:val="20"/>
                <w:szCs w:val="20"/>
              </w:rPr>
              <w:t>429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9920107" w:rsidR="00E66558" w:rsidRPr="003F7C01" w:rsidRDefault="00C64D11">
            <w:pPr>
              <w:pStyle w:val="TableRow"/>
              <w:rPr>
                <w:color w:val="auto"/>
                <w:sz w:val="20"/>
                <w:szCs w:val="20"/>
              </w:rPr>
            </w:pPr>
            <w:r w:rsidRPr="003F7C01">
              <w:rPr>
                <w:color w:val="auto"/>
                <w:sz w:val="20"/>
                <w:szCs w:val="20"/>
              </w:rPr>
              <w:t>4</w:t>
            </w:r>
            <w:r w:rsidR="003F7C01" w:rsidRPr="003F7C01">
              <w:rPr>
                <w:color w:val="auto"/>
                <w:sz w:val="20"/>
                <w:szCs w:val="20"/>
              </w:rPr>
              <w:t>9.88</w:t>
            </w:r>
            <w:r w:rsidRPr="003F7C01">
              <w:rPr>
                <w:color w:val="auto"/>
                <w:sz w:val="20"/>
                <w:szCs w:val="20"/>
              </w:rPr>
              <w:t>% (</w:t>
            </w:r>
            <w:r w:rsidR="003F7C01" w:rsidRPr="003F7C01">
              <w:rPr>
                <w:color w:val="auto"/>
                <w:sz w:val="20"/>
                <w:szCs w:val="20"/>
              </w:rPr>
              <w:t>214</w:t>
            </w:r>
            <w:r w:rsidR="008B20BB" w:rsidRPr="003F7C01">
              <w:rPr>
                <w:color w:val="auto"/>
                <w:sz w:val="20"/>
                <w:szCs w:val="20"/>
              </w:rPr>
              <w:t xml:space="preserve"> </w:t>
            </w:r>
            <w:r w:rsidRPr="003F7C01">
              <w:rPr>
                <w:color w:val="auto"/>
                <w:sz w:val="20"/>
                <w:szCs w:val="20"/>
              </w:rPr>
              <w:t>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8497825" w:rsidR="00E66558" w:rsidRPr="00C64D11" w:rsidRDefault="00983B87">
            <w:pPr>
              <w:pStyle w:val="TableRow"/>
              <w:rPr>
                <w:sz w:val="20"/>
                <w:szCs w:val="20"/>
              </w:rPr>
            </w:pPr>
            <w:r>
              <w:rPr>
                <w:sz w:val="20"/>
                <w:szCs w:val="20"/>
              </w:rPr>
              <w:t>2024</w:t>
            </w:r>
            <w:r w:rsidR="00C64D11" w:rsidRPr="00C64D11">
              <w:rPr>
                <w:sz w:val="20"/>
                <w:szCs w:val="20"/>
              </w:rPr>
              <w:t>-</w:t>
            </w:r>
            <w:r w:rsidR="0079782B">
              <w:rPr>
                <w:sz w:val="20"/>
                <w:szCs w:val="20"/>
              </w:rPr>
              <w:t>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8207A72" w:rsidR="00E66558" w:rsidRPr="00C64D11" w:rsidRDefault="00983B87">
            <w:pPr>
              <w:pStyle w:val="TableRow"/>
              <w:rPr>
                <w:sz w:val="20"/>
                <w:szCs w:val="20"/>
              </w:rPr>
            </w:pPr>
            <w:r>
              <w:rPr>
                <w:sz w:val="20"/>
                <w:szCs w:val="20"/>
              </w:rPr>
              <w:t>September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D7EFE59" w:rsidR="00E66558" w:rsidRPr="00C64D11" w:rsidRDefault="00883559">
            <w:pPr>
              <w:pStyle w:val="TableRow"/>
              <w:rPr>
                <w:sz w:val="20"/>
                <w:szCs w:val="20"/>
              </w:rPr>
            </w:pPr>
            <w:r>
              <w:rPr>
                <w:sz w:val="20"/>
                <w:szCs w:val="20"/>
              </w:rPr>
              <w:t>July 2024</w:t>
            </w:r>
          </w:p>
        </w:tc>
      </w:tr>
      <w:tr w:rsidR="00C64D11"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C64D11" w:rsidRDefault="00C64D11" w:rsidP="00C64D11">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744D186" w:rsidR="00C64D11" w:rsidRPr="002B5820" w:rsidRDefault="00C64D11" w:rsidP="00C64D11">
            <w:pPr>
              <w:pStyle w:val="TableRow"/>
              <w:rPr>
                <w:sz w:val="20"/>
                <w:szCs w:val="20"/>
              </w:rPr>
            </w:pPr>
            <w:r w:rsidRPr="002B5820">
              <w:rPr>
                <w:sz w:val="20"/>
              </w:rPr>
              <w:t>Mrs Rebecca Bridges</w:t>
            </w:r>
          </w:p>
        </w:tc>
      </w:tr>
      <w:tr w:rsidR="00C64D11"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C64D11" w:rsidRDefault="00C64D11" w:rsidP="00C64D11">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626BE12" w:rsidR="00C64D11" w:rsidRPr="002B5820" w:rsidRDefault="00C64D11" w:rsidP="00C64D11">
            <w:pPr>
              <w:pStyle w:val="TableRow"/>
              <w:rPr>
                <w:sz w:val="20"/>
                <w:szCs w:val="20"/>
              </w:rPr>
            </w:pPr>
            <w:r w:rsidRPr="002B5820">
              <w:rPr>
                <w:sz w:val="20"/>
              </w:rPr>
              <w:t>Miss Stacey Lewis</w:t>
            </w:r>
          </w:p>
        </w:tc>
      </w:tr>
      <w:tr w:rsidR="00C64D11"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C64D11" w:rsidRDefault="00C64D11" w:rsidP="00C64D11">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756A1D0" w:rsidR="00C64D11" w:rsidRPr="002B5820" w:rsidRDefault="00C64D11" w:rsidP="00C64D11">
            <w:pPr>
              <w:pStyle w:val="TableRow"/>
              <w:rPr>
                <w:sz w:val="20"/>
                <w:szCs w:val="20"/>
              </w:rPr>
            </w:pPr>
            <w:r w:rsidRPr="002B5820">
              <w:rPr>
                <w:sz w:val="20"/>
              </w:rPr>
              <w:t>Diane Hollis</w:t>
            </w:r>
          </w:p>
        </w:tc>
      </w:tr>
    </w:tbl>
    <w:bookmarkEnd w:id="4"/>
    <w:bookmarkEnd w:id="3"/>
    <w:bookmarkEnd w:id="2"/>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4FC391E" w:rsidR="00E66558" w:rsidRPr="003F7C01" w:rsidRDefault="009D71E8" w:rsidP="007A066A">
            <w:pPr>
              <w:pStyle w:val="TableRow"/>
              <w:rPr>
                <w:color w:val="auto"/>
              </w:rPr>
            </w:pPr>
            <w:r w:rsidRPr="003F7C01">
              <w:rPr>
                <w:color w:val="auto"/>
              </w:rPr>
              <w:t>£</w:t>
            </w:r>
            <w:r w:rsidR="003F7C01" w:rsidRPr="003F7C01">
              <w:rPr>
                <w:color w:val="auto"/>
              </w:rPr>
              <w:t>275,500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D0DF3E4" w:rsidR="00E66558" w:rsidRPr="003F7C01" w:rsidRDefault="009D71E8">
            <w:pPr>
              <w:pStyle w:val="TableRow"/>
              <w:rPr>
                <w:color w:val="auto"/>
              </w:rPr>
            </w:pPr>
            <w:r w:rsidRPr="003F7C01">
              <w:rPr>
                <w:color w:val="auto"/>
              </w:rPr>
              <w:t>£</w:t>
            </w:r>
            <w:r w:rsidR="003F7C01" w:rsidRPr="003F7C01">
              <w:rPr>
                <w:color w:val="auto"/>
              </w:rPr>
              <w:t>12,555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3B31AD" w:rsidR="00E66558" w:rsidRPr="003F7C01" w:rsidRDefault="009D71E8">
            <w:pPr>
              <w:pStyle w:val="TableRow"/>
              <w:rPr>
                <w:color w:val="auto"/>
              </w:rPr>
            </w:pPr>
            <w:r w:rsidRPr="003F7C01">
              <w:rPr>
                <w:color w:val="auto"/>
              </w:rPr>
              <w:t>£</w:t>
            </w:r>
            <w:r w:rsidR="00C64D11" w:rsidRPr="003F7C01">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A93FF47" w:rsidR="00E66558" w:rsidRPr="003F7C01" w:rsidRDefault="009D71E8" w:rsidP="00D90289">
            <w:pPr>
              <w:pStyle w:val="TableRow"/>
              <w:tabs>
                <w:tab w:val="left" w:pos="735"/>
              </w:tabs>
              <w:rPr>
                <w:color w:val="auto"/>
              </w:rPr>
            </w:pPr>
            <w:r w:rsidRPr="003F7C01">
              <w:rPr>
                <w:color w:val="auto"/>
              </w:rPr>
              <w:t>£</w:t>
            </w:r>
            <w:r w:rsidR="003F7C01" w:rsidRPr="003F7C01">
              <w:rPr>
                <w:color w:val="auto"/>
              </w:rPr>
              <w:t>288,055</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903E0" w14:textId="3D655826" w:rsidR="00B05F8C" w:rsidRPr="00D8007E" w:rsidRDefault="00B05F8C" w:rsidP="00B05F8C">
            <w:pPr>
              <w:spacing w:after="0"/>
              <w:rPr>
                <w:b/>
                <w:iCs/>
                <w:sz w:val="20"/>
                <w:szCs w:val="20"/>
              </w:rPr>
            </w:pPr>
            <w:r w:rsidRPr="00D8007E">
              <w:rPr>
                <w:b/>
                <w:iCs/>
                <w:sz w:val="20"/>
                <w:szCs w:val="20"/>
              </w:rPr>
              <w:t>Our Philosophy</w:t>
            </w:r>
          </w:p>
          <w:p w14:paraId="0C467149" w14:textId="77777777" w:rsidR="00B05F8C" w:rsidRPr="00D8007E" w:rsidRDefault="00B05F8C" w:rsidP="00B05F8C">
            <w:pPr>
              <w:spacing w:after="0"/>
              <w:rPr>
                <w:iCs/>
                <w:sz w:val="20"/>
                <w:szCs w:val="20"/>
              </w:rPr>
            </w:pPr>
            <w:r w:rsidRPr="00D8007E">
              <w:rPr>
                <w:iCs/>
                <w:sz w:val="20"/>
                <w:szCs w:val="20"/>
              </w:rPr>
              <w:t xml:space="preserve">We believe in maximising the use of the pupil premium grant (PPG) by utilising a long-term </w:t>
            </w:r>
          </w:p>
          <w:p w14:paraId="273EF0DA" w14:textId="5B1512EA" w:rsidR="00B05F8C" w:rsidRPr="00D8007E" w:rsidRDefault="00B05F8C" w:rsidP="00B05F8C">
            <w:pPr>
              <w:spacing w:after="0"/>
              <w:rPr>
                <w:iCs/>
                <w:sz w:val="20"/>
                <w:szCs w:val="20"/>
              </w:rPr>
            </w:pPr>
            <w:r w:rsidRPr="00D8007E">
              <w:rPr>
                <w:iCs/>
                <w:sz w:val="20"/>
                <w:szCs w:val="20"/>
              </w:rPr>
              <w:t xml:space="preserve">strategy aligned to the SDP. This enables us to implement a </w:t>
            </w:r>
            <w:r w:rsidR="00CA2742" w:rsidRPr="00D8007E">
              <w:rPr>
                <w:iCs/>
                <w:sz w:val="20"/>
                <w:szCs w:val="20"/>
              </w:rPr>
              <w:t>blend of short, medium and long-</w:t>
            </w:r>
            <w:r w:rsidRPr="00D8007E">
              <w:rPr>
                <w:iCs/>
                <w:sz w:val="20"/>
                <w:szCs w:val="20"/>
              </w:rPr>
              <w:t>term interventions, and align pupil premium use with wider school improvements and improving readiness to learn.</w:t>
            </w:r>
            <w:r w:rsidR="00CA2742" w:rsidRPr="00D8007E">
              <w:rPr>
                <w:iCs/>
                <w:sz w:val="20"/>
                <w:szCs w:val="20"/>
              </w:rPr>
              <w:t xml:space="preserve"> </w:t>
            </w:r>
            <w:r w:rsidRPr="00D8007E">
              <w:rPr>
                <w:iCs/>
                <w:sz w:val="20"/>
                <w:szCs w:val="20"/>
              </w:rPr>
              <w:t xml:space="preserve">Overcoming barriers to learning is at the heart of our PPG use. We understand that needs and </w:t>
            </w:r>
          </w:p>
          <w:p w14:paraId="34AA9D35" w14:textId="77777777" w:rsidR="00B05F8C" w:rsidRPr="00D8007E" w:rsidRDefault="00B05F8C" w:rsidP="00B05F8C">
            <w:pPr>
              <w:spacing w:after="0"/>
              <w:rPr>
                <w:iCs/>
                <w:sz w:val="20"/>
                <w:szCs w:val="20"/>
              </w:rPr>
            </w:pPr>
            <w:r w:rsidRPr="00D8007E">
              <w:rPr>
                <w:iCs/>
                <w:sz w:val="20"/>
                <w:szCs w:val="20"/>
              </w:rPr>
              <w:t xml:space="preserve">costs will differ depending on the barriers to learning being addressed. As such, we do not </w:t>
            </w:r>
          </w:p>
          <w:p w14:paraId="105DD512" w14:textId="77777777" w:rsidR="00B05F8C" w:rsidRPr="00D8007E" w:rsidRDefault="00B05F8C" w:rsidP="00B05F8C">
            <w:pPr>
              <w:spacing w:after="0"/>
              <w:rPr>
                <w:iCs/>
                <w:sz w:val="20"/>
                <w:szCs w:val="20"/>
              </w:rPr>
            </w:pPr>
            <w:r w:rsidRPr="00D8007E">
              <w:rPr>
                <w:iCs/>
                <w:sz w:val="20"/>
                <w:szCs w:val="20"/>
              </w:rPr>
              <w:t xml:space="preserve">automatically allocate personal budgets per pupil in receipt of the PPG. Instead, we identify </w:t>
            </w:r>
          </w:p>
          <w:p w14:paraId="7AC3CCB5" w14:textId="77777777" w:rsidR="00B05F8C" w:rsidRPr="00D8007E" w:rsidRDefault="00B05F8C" w:rsidP="00B05F8C">
            <w:pPr>
              <w:spacing w:after="0"/>
              <w:rPr>
                <w:iCs/>
                <w:sz w:val="20"/>
                <w:szCs w:val="20"/>
              </w:rPr>
            </w:pPr>
            <w:r w:rsidRPr="00D8007E">
              <w:rPr>
                <w:iCs/>
                <w:sz w:val="20"/>
                <w:szCs w:val="20"/>
              </w:rPr>
              <w:t xml:space="preserve">the barrier to be addressed and the interventions required, whether in small groups, large </w:t>
            </w:r>
          </w:p>
          <w:p w14:paraId="32E8B03A" w14:textId="6E305759" w:rsidR="00CA2742" w:rsidRPr="00D8007E" w:rsidRDefault="00B05F8C" w:rsidP="00B05F8C">
            <w:pPr>
              <w:spacing w:after="0"/>
              <w:rPr>
                <w:iCs/>
                <w:sz w:val="20"/>
                <w:szCs w:val="20"/>
              </w:rPr>
            </w:pPr>
            <w:r w:rsidRPr="00D8007E">
              <w:rPr>
                <w:iCs/>
                <w:sz w:val="20"/>
                <w:szCs w:val="20"/>
              </w:rPr>
              <w:t>groups, the whole school or as individuals, and allocate a budget accordingly.</w:t>
            </w:r>
          </w:p>
          <w:p w14:paraId="4F93DAC1" w14:textId="77777777" w:rsidR="00D8007E" w:rsidRPr="00D8007E" w:rsidRDefault="00D8007E" w:rsidP="00B05F8C">
            <w:pPr>
              <w:spacing w:after="0"/>
              <w:rPr>
                <w:iCs/>
                <w:sz w:val="20"/>
                <w:szCs w:val="20"/>
              </w:rPr>
            </w:pPr>
          </w:p>
          <w:p w14:paraId="105D32DC" w14:textId="77777777" w:rsidR="00B05F8C" w:rsidRPr="00D8007E" w:rsidRDefault="00B05F8C" w:rsidP="00B05F8C">
            <w:pPr>
              <w:spacing w:after="0"/>
              <w:rPr>
                <w:b/>
                <w:iCs/>
                <w:sz w:val="20"/>
                <w:szCs w:val="20"/>
              </w:rPr>
            </w:pPr>
            <w:r w:rsidRPr="00D8007E">
              <w:rPr>
                <w:b/>
                <w:iCs/>
                <w:sz w:val="20"/>
                <w:szCs w:val="20"/>
              </w:rPr>
              <w:t>Our Priorities</w:t>
            </w:r>
          </w:p>
          <w:p w14:paraId="6274CDD4" w14:textId="77777777" w:rsidR="00B05F8C" w:rsidRPr="00D8007E" w:rsidRDefault="00B05F8C" w:rsidP="00B05F8C">
            <w:pPr>
              <w:spacing w:after="0"/>
              <w:rPr>
                <w:iCs/>
                <w:sz w:val="20"/>
                <w:szCs w:val="20"/>
              </w:rPr>
            </w:pPr>
            <w:r w:rsidRPr="00D8007E">
              <w:rPr>
                <w:iCs/>
                <w:sz w:val="20"/>
                <w:szCs w:val="20"/>
              </w:rPr>
              <w:t>Setting priorities is key to maximising the use of the PPG. Our priorities are as follows:</w:t>
            </w:r>
          </w:p>
          <w:p w14:paraId="6B9BC450" w14:textId="77777777" w:rsidR="00CA2742" w:rsidRPr="00D8007E" w:rsidRDefault="00B05F8C" w:rsidP="00B05F8C">
            <w:pPr>
              <w:pStyle w:val="ListParagraph"/>
              <w:numPr>
                <w:ilvl w:val="0"/>
                <w:numId w:val="16"/>
              </w:numPr>
              <w:spacing w:after="0"/>
              <w:rPr>
                <w:iCs/>
                <w:sz w:val="20"/>
                <w:szCs w:val="20"/>
              </w:rPr>
            </w:pPr>
            <w:r w:rsidRPr="00D8007E">
              <w:rPr>
                <w:iCs/>
                <w:sz w:val="20"/>
                <w:szCs w:val="20"/>
              </w:rPr>
              <w:t>Closing the attainment gap between disadvantaged pupils and their peers.</w:t>
            </w:r>
          </w:p>
          <w:p w14:paraId="4A695471" w14:textId="77777777" w:rsidR="00CA2742" w:rsidRPr="00D8007E" w:rsidRDefault="00B05F8C" w:rsidP="00B05F8C">
            <w:pPr>
              <w:pStyle w:val="ListParagraph"/>
              <w:numPr>
                <w:ilvl w:val="0"/>
                <w:numId w:val="16"/>
              </w:numPr>
              <w:spacing w:after="0"/>
              <w:rPr>
                <w:iCs/>
                <w:sz w:val="20"/>
                <w:szCs w:val="20"/>
              </w:rPr>
            </w:pPr>
            <w:r w:rsidRPr="00D8007E">
              <w:rPr>
                <w:iCs/>
                <w:sz w:val="20"/>
                <w:szCs w:val="20"/>
              </w:rPr>
              <w:t>Providing targeted academic support for pupils who are not making the expected progress.</w:t>
            </w:r>
          </w:p>
          <w:p w14:paraId="5E74E9B9" w14:textId="2EDDB9B5" w:rsidR="00CA2742" w:rsidRPr="00D8007E" w:rsidRDefault="00B05F8C" w:rsidP="00B05F8C">
            <w:pPr>
              <w:pStyle w:val="ListParagraph"/>
              <w:numPr>
                <w:ilvl w:val="0"/>
                <w:numId w:val="16"/>
              </w:numPr>
              <w:spacing w:after="0"/>
              <w:rPr>
                <w:iCs/>
                <w:sz w:val="20"/>
                <w:szCs w:val="20"/>
              </w:rPr>
            </w:pPr>
            <w:r w:rsidRPr="00D8007E">
              <w:rPr>
                <w:iCs/>
                <w:sz w:val="20"/>
                <w:szCs w:val="20"/>
              </w:rPr>
              <w:t>Addressing non-academic barriers to attainment such as attendance and behaviour</w:t>
            </w:r>
            <w:r w:rsidR="00CA2742" w:rsidRPr="00D8007E">
              <w:rPr>
                <w:iCs/>
                <w:sz w:val="20"/>
                <w:szCs w:val="20"/>
              </w:rPr>
              <w:t>.</w:t>
            </w:r>
          </w:p>
          <w:p w14:paraId="1B706D64" w14:textId="184F5F05" w:rsidR="00CA2742" w:rsidRPr="00D8007E" w:rsidRDefault="00B05F8C" w:rsidP="00CA2742">
            <w:pPr>
              <w:pStyle w:val="ListParagraph"/>
              <w:numPr>
                <w:ilvl w:val="0"/>
                <w:numId w:val="16"/>
              </w:numPr>
              <w:spacing w:after="0"/>
              <w:rPr>
                <w:iCs/>
                <w:sz w:val="20"/>
                <w:szCs w:val="20"/>
              </w:rPr>
            </w:pPr>
            <w:r w:rsidRPr="00D8007E">
              <w:rPr>
                <w:iCs/>
                <w:sz w:val="20"/>
                <w:szCs w:val="20"/>
              </w:rPr>
              <w:t>Ensuring that the PPG reaches the pupils who need it most</w:t>
            </w:r>
            <w:r w:rsidR="00CA2742" w:rsidRPr="00D8007E">
              <w:rPr>
                <w:iCs/>
                <w:sz w:val="20"/>
                <w:szCs w:val="20"/>
              </w:rPr>
              <w:t>.</w:t>
            </w:r>
          </w:p>
          <w:p w14:paraId="37FCF5D8" w14:textId="77777777" w:rsidR="00D8007E" w:rsidRPr="00D8007E" w:rsidRDefault="00D8007E" w:rsidP="00D8007E">
            <w:pPr>
              <w:pStyle w:val="ListParagraph"/>
              <w:numPr>
                <w:ilvl w:val="0"/>
                <w:numId w:val="0"/>
              </w:numPr>
              <w:spacing w:after="0"/>
              <w:ind w:left="720"/>
              <w:rPr>
                <w:iCs/>
                <w:sz w:val="20"/>
                <w:szCs w:val="20"/>
              </w:rPr>
            </w:pPr>
          </w:p>
          <w:p w14:paraId="5BE58D8D" w14:textId="77777777" w:rsidR="00CA2742" w:rsidRPr="00D8007E" w:rsidRDefault="00CA2742" w:rsidP="00CA2742">
            <w:pPr>
              <w:spacing w:after="0"/>
              <w:rPr>
                <w:b/>
                <w:iCs/>
                <w:sz w:val="20"/>
                <w:szCs w:val="20"/>
              </w:rPr>
            </w:pPr>
            <w:r w:rsidRPr="00D8007E">
              <w:rPr>
                <w:b/>
                <w:iCs/>
                <w:sz w:val="20"/>
                <w:szCs w:val="20"/>
              </w:rPr>
              <w:t xml:space="preserve">Our Implementation Process </w:t>
            </w:r>
          </w:p>
          <w:p w14:paraId="10B3F911" w14:textId="7CC76961" w:rsidR="00CA2742" w:rsidRPr="00D8007E" w:rsidRDefault="00CA2742" w:rsidP="00CA2742">
            <w:pPr>
              <w:spacing w:after="0"/>
              <w:rPr>
                <w:iCs/>
                <w:sz w:val="20"/>
                <w:szCs w:val="20"/>
              </w:rPr>
            </w:pPr>
            <w:r w:rsidRPr="00D8007E">
              <w:rPr>
                <w:iCs/>
                <w:sz w:val="20"/>
                <w:szCs w:val="20"/>
              </w:rPr>
              <w:t>We believe in selecting a small number of priorities and giving them the best chance of success. We also believe in evidence-based interventions and learning from our experiences, which is why we utilise annual light-touch reviews to ensure our approach is effective and we can cease or amend interventions that are not having the intended impact. We will:</w:t>
            </w:r>
          </w:p>
          <w:p w14:paraId="2B83C3D8" w14:textId="77777777" w:rsidR="00CA2742" w:rsidRPr="00D8007E" w:rsidRDefault="00CA2742" w:rsidP="00CA2742">
            <w:pPr>
              <w:spacing w:after="0"/>
              <w:rPr>
                <w:iCs/>
                <w:sz w:val="20"/>
                <w:szCs w:val="20"/>
                <w:u w:val="single"/>
              </w:rPr>
            </w:pPr>
            <w:r w:rsidRPr="00D8007E">
              <w:rPr>
                <w:iCs/>
                <w:sz w:val="20"/>
                <w:szCs w:val="20"/>
                <w:u w:val="single"/>
              </w:rPr>
              <w:t>Explore</w:t>
            </w:r>
          </w:p>
          <w:p w14:paraId="3FA7835B" w14:textId="619A20FD" w:rsidR="00CA2742" w:rsidRPr="00D8007E" w:rsidRDefault="00CA2742" w:rsidP="00CA2742">
            <w:pPr>
              <w:pStyle w:val="ListParagraph"/>
              <w:numPr>
                <w:ilvl w:val="0"/>
                <w:numId w:val="17"/>
              </w:numPr>
              <w:spacing w:after="0"/>
              <w:rPr>
                <w:iCs/>
                <w:sz w:val="20"/>
                <w:szCs w:val="20"/>
              </w:rPr>
            </w:pPr>
            <w:r w:rsidRPr="00D8007E">
              <w:rPr>
                <w:iCs/>
                <w:sz w:val="20"/>
                <w:szCs w:val="20"/>
              </w:rPr>
              <w:t>Identify a key priority that we can address; systematically explore appropriate programmes and practices; examine the fit and feasibility with the school.</w:t>
            </w:r>
          </w:p>
          <w:p w14:paraId="18671686" w14:textId="77777777" w:rsidR="00CA2742" w:rsidRPr="00D8007E" w:rsidRDefault="00CA2742" w:rsidP="00CA2742">
            <w:pPr>
              <w:spacing w:after="0"/>
              <w:rPr>
                <w:iCs/>
                <w:sz w:val="20"/>
                <w:szCs w:val="20"/>
                <w:u w:val="single"/>
              </w:rPr>
            </w:pPr>
            <w:r w:rsidRPr="00D8007E">
              <w:rPr>
                <w:iCs/>
                <w:sz w:val="20"/>
                <w:szCs w:val="20"/>
                <w:u w:val="single"/>
              </w:rPr>
              <w:t>Prepare</w:t>
            </w:r>
          </w:p>
          <w:p w14:paraId="79BD4630" w14:textId="7CB62EAF" w:rsidR="00CA2742" w:rsidRPr="00D8007E" w:rsidRDefault="00CA2742" w:rsidP="00720022">
            <w:pPr>
              <w:pStyle w:val="ListParagraph"/>
              <w:numPr>
                <w:ilvl w:val="0"/>
                <w:numId w:val="17"/>
              </w:numPr>
              <w:spacing w:after="0"/>
              <w:rPr>
                <w:iCs/>
                <w:sz w:val="20"/>
                <w:szCs w:val="20"/>
              </w:rPr>
            </w:pPr>
            <w:r w:rsidRPr="00D8007E">
              <w:rPr>
                <w:iCs/>
                <w:sz w:val="20"/>
                <w:szCs w:val="20"/>
              </w:rPr>
              <w:t>Develop a clear, logical and well-specified plan; assess the readiness of the school to deliver the plan; make practical preparations.</w:t>
            </w:r>
          </w:p>
          <w:p w14:paraId="6D3A8963" w14:textId="77777777" w:rsidR="00CA2742" w:rsidRPr="00D8007E" w:rsidRDefault="00CA2742" w:rsidP="00CA2742">
            <w:pPr>
              <w:spacing w:after="0"/>
              <w:rPr>
                <w:iCs/>
                <w:sz w:val="20"/>
                <w:szCs w:val="20"/>
                <w:u w:val="single"/>
              </w:rPr>
            </w:pPr>
            <w:r w:rsidRPr="00D8007E">
              <w:rPr>
                <w:iCs/>
                <w:sz w:val="20"/>
                <w:szCs w:val="20"/>
                <w:u w:val="single"/>
              </w:rPr>
              <w:t>Deliver</w:t>
            </w:r>
          </w:p>
          <w:p w14:paraId="6267B3DA" w14:textId="07263D97" w:rsidR="00CA2742" w:rsidRPr="00D8007E" w:rsidRDefault="00CA2742" w:rsidP="00720022">
            <w:pPr>
              <w:pStyle w:val="ListParagraph"/>
              <w:numPr>
                <w:ilvl w:val="0"/>
                <w:numId w:val="17"/>
              </w:numPr>
              <w:spacing w:after="0"/>
              <w:rPr>
                <w:iCs/>
                <w:sz w:val="20"/>
                <w:szCs w:val="20"/>
              </w:rPr>
            </w:pPr>
            <w:r w:rsidRPr="00D8007E">
              <w:rPr>
                <w:iCs/>
                <w:sz w:val="20"/>
                <w:szCs w:val="20"/>
              </w:rPr>
              <w:t>Support staff and solve any problems using a flexible leadership approach; reinforce initial training with follow-on support; drive faithful adoption and intelligent adaption.</w:t>
            </w:r>
          </w:p>
          <w:p w14:paraId="3F6B8B36" w14:textId="77777777" w:rsidR="00CA2742" w:rsidRPr="00D8007E" w:rsidRDefault="00CA2742" w:rsidP="00CA2742">
            <w:pPr>
              <w:spacing w:after="0"/>
              <w:rPr>
                <w:iCs/>
                <w:sz w:val="20"/>
                <w:szCs w:val="20"/>
                <w:u w:val="single"/>
              </w:rPr>
            </w:pPr>
            <w:r w:rsidRPr="00D8007E">
              <w:rPr>
                <w:iCs/>
                <w:sz w:val="20"/>
                <w:szCs w:val="20"/>
                <w:u w:val="single"/>
              </w:rPr>
              <w:t>Sustain</w:t>
            </w:r>
          </w:p>
          <w:p w14:paraId="31836B7C" w14:textId="3720667C" w:rsidR="00CA2742" w:rsidRPr="00D8007E" w:rsidRDefault="00CA2742" w:rsidP="00CA2742">
            <w:pPr>
              <w:pStyle w:val="ListParagraph"/>
              <w:numPr>
                <w:ilvl w:val="0"/>
                <w:numId w:val="17"/>
              </w:numPr>
              <w:spacing w:after="0"/>
              <w:rPr>
                <w:iCs/>
                <w:sz w:val="20"/>
                <w:szCs w:val="20"/>
              </w:rPr>
            </w:pPr>
            <w:r w:rsidRPr="00D8007E">
              <w:rPr>
                <w:iCs/>
                <w:sz w:val="20"/>
                <w:szCs w:val="20"/>
              </w:rPr>
              <w:t>Plan for sustaining and scaling the intervention from the outset; continually acknowledge, support and reward good implementation practices; treat scale-up as a new implementation process.</w:t>
            </w:r>
          </w:p>
          <w:p w14:paraId="7108765D" w14:textId="77777777" w:rsidR="00D8007E" w:rsidRPr="00D8007E" w:rsidRDefault="00D8007E" w:rsidP="00D8007E">
            <w:pPr>
              <w:spacing w:after="0"/>
              <w:rPr>
                <w:iCs/>
                <w:sz w:val="20"/>
                <w:szCs w:val="20"/>
              </w:rPr>
            </w:pPr>
          </w:p>
          <w:p w14:paraId="74548A44" w14:textId="77777777" w:rsidR="00CA2742" w:rsidRPr="00D8007E" w:rsidRDefault="00CA2742" w:rsidP="00CA2742">
            <w:pPr>
              <w:spacing w:after="0"/>
              <w:rPr>
                <w:b/>
                <w:iCs/>
                <w:sz w:val="20"/>
                <w:szCs w:val="20"/>
              </w:rPr>
            </w:pPr>
            <w:r w:rsidRPr="00D8007E">
              <w:rPr>
                <w:b/>
                <w:iCs/>
                <w:sz w:val="20"/>
                <w:szCs w:val="20"/>
              </w:rPr>
              <w:t>Our Tiered Approach</w:t>
            </w:r>
          </w:p>
          <w:p w14:paraId="168ED5FE" w14:textId="5B7DF453" w:rsidR="00CA2742" w:rsidRPr="00D8007E" w:rsidRDefault="00CA2742" w:rsidP="00CA2742">
            <w:pPr>
              <w:spacing w:after="0"/>
              <w:rPr>
                <w:iCs/>
                <w:sz w:val="20"/>
                <w:szCs w:val="20"/>
              </w:rPr>
            </w:pPr>
            <w:r w:rsidRPr="00D8007E">
              <w:rPr>
                <w:iCs/>
                <w:sz w:val="20"/>
                <w:szCs w:val="20"/>
              </w:rPr>
              <w:t>To prioritise spending, we have adopted a tiered approach to define our priorities and ensure balance. Our tiered approach comprises three categories:</w:t>
            </w:r>
          </w:p>
          <w:p w14:paraId="00B42188" w14:textId="77777777" w:rsidR="00CA2742" w:rsidRPr="00D8007E" w:rsidRDefault="00CA2742" w:rsidP="00CA2742">
            <w:pPr>
              <w:spacing w:after="0"/>
              <w:rPr>
                <w:iCs/>
                <w:sz w:val="20"/>
                <w:szCs w:val="20"/>
              </w:rPr>
            </w:pPr>
            <w:r w:rsidRPr="00D8007E">
              <w:rPr>
                <w:iCs/>
                <w:sz w:val="20"/>
                <w:szCs w:val="20"/>
              </w:rPr>
              <w:t>1. Teaching</w:t>
            </w:r>
          </w:p>
          <w:p w14:paraId="197710FC" w14:textId="77777777" w:rsidR="00CA2742" w:rsidRPr="00D8007E" w:rsidRDefault="00CA2742" w:rsidP="00CA2742">
            <w:pPr>
              <w:spacing w:after="0"/>
              <w:rPr>
                <w:iCs/>
                <w:sz w:val="20"/>
                <w:szCs w:val="20"/>
              </w:rPr>
            </w:pPr>
            <w:r w:rsidRPr="00D8007E">
              <w:rPr>
                <w:iCs/>
                <w:sz w:val="20"/>
                <w:szCs w:val="20"/>
              </w:rPr>
              <w:t>2. Targeted academic support</w:t>
            </w:r>
          </w:p>
          <w:p w14:paraId="07D35E55" w14:textId="77777777" w:rsidR="00CA2742" w:rsidRPr="00D8007E" w:rsidRDefault="00CA2742" w:rsidP="00CA2742">
            <w:pPr>
              <w:spacing w:after="0"/>
              <w:rPr>
                <w:iCs/>
                <w:sz w:val="20"/>
                <w:szCs w:val="20"/>
              </w:rPr>
            </w:pPr>
            <w:r w:rsidRPr="00D8007E">
              <w:rPr>
                <w:iCs/>
                <w:sz w:val="20"/>
                <w:szCs w:val="20"/>
              </w:rPr>
              <w:t>3. Wider strategies</w:t>
            </w:r>
          </w:p>
          <w:p w14:paraId="2A7D54E9" w14:textId="0F3168F1" w:rsidR="00CA2742" w:rsidRPr="00CA2742" w:rsidRDefault="00CA2742" w:rsidP="00CA2742">
            <w:pPr>
              <w:spacing w:after="0"/>
              <w:rPr>
                <w:iCs/>
                <w:sz w:val="20"/>
              </w:rPr>
            </w:pPr>
            <w:r w:rsidRPr="00D8007E">
              <w:rPr>
                <w:iCs/>
                <w:sz w:val="20"/>
                <w:szCs w:val="20"/>
              </w:rPr>
              <w:t>Within each category, we have chosen interventions. This focussed approach ensures the best chance of success for each intervention.</w:t>
            </w:r>
          </w:p>
        </w:tc>
      </w:tr>
    </w:tbl>
    <w:p w14:paraId="2A7D54EB" w14:textId="6CD45477" w:rsidR="00E66558" w:rsidRDefault="009D71E8">
      <w:pPr>
        <w:pStyle w:val="Heading2"/>
        <w:spacing w:before="600"/>
      </w:pPr>
      <w:r>
        <w:t>Challenges</w:t>
      </w:r>
    </w:p>
    <w:p w14:paraId="28B95D2E" w14:textId="77777777" w:rsidR="009E4159" w:rsidRPr="009E4159" w:rsidRDefault="009E4159" w:rsidP="009E4159"/>
    <w:p w14:paraId="2A7D54EC" w14:textId="1FAAEF92"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7BB56EB4" w14:textId="77777777" w:rsidR="009E4159" w:rsidRDefault="009E4159">
      <w:pPr>
        <w:spacing w:before="120" w:line="240" w:lineRule="auto"/>
        <w:textAlignment w:val="baseline"/>
        <w:outlineLvl w:val="0"/>
      </w:pP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C3F2" w14:textId="77777777" w:rsidR="009E4159" w:rsidRDefault="009E4159" w:rsidP="00D8007E">
            <w:pPr>
              <w:pStyle w:val="TableRowCentered"/>
              <w:jc w:val="left"/>
              <w:rPr>
                <w:sz w:val="20"/>
              </w:rPr>
            </w:pPr>
          </w:p>
          <w:p w14:paraId="27A79BDD" w14:textId="6411D6A1" w:rsidR="00E66558" w:rsidRDefault="008B58DB" w:rsidP="00D8007E">
            <w:pPr>
              <w:pStyle w:val="TableRowCentered"/>
              <w:jc w:val="left"/>
              <w:rPr>
                <w:sz w:val="20"/>
              </w:rPr>
            </w:pPr>
            <w:r>
              <w:rPr>
                <w:sz w:val="20"/>
              </w:rPr>
              <w:t>As children enter the school, b</w:t>
            </w:r>
            <w:r w:rsidRPr="008B58DB">
              <w:rPr>
                <w:sz w:val="20"/>
              </w:rPr>
              <w:t>aseline levels for many areas of</w:t>
            </w:r>
            <w:r>
              <w:rPr>
                <w:sz w:val="20"/>
              </w:rPr>
              <w:t xml:space="preserve"> </w:t>
            </w:r>
            <w:r w:rsidRPr="008B58DB">
              <w:rPr>
                <w:sz w:val="20"/>
              </w:rPr>
              <w:t>development, particularly the prime areas, are well below age-related expectations</w:t>
            </w:r>
            <w:r w:rsidR="00D8007E">
              <w:rPr>
                <w:sz w:val="20"/>
              </w:rPr>
              <w:t>. Communication and</w:t>
            </w:r>
            <w:r>
              <w:rPr>
                <w:sz w:val="20"/>
              </w:rPr>
              <w:t xml:space="preserve"> </w:t>
            </w:r>
            <w:r w:rsidRPr="008B58DB">
              <w:rPr>
                <w:sz w:val="20"/>
              </w:rPr>
              <w:t>language</w:t>
            </w:r>
            <w:r w:rsidR="00D8007E">
              <w:rPr>
                <w:sz w:val="20"/>
              </w:rPr>
              <w:t>,</w:t>
            </w:r>
            <w:r w:rsidR="00CE1BD6">
              <w:rPr>
                <w:sz w:val="20"/>
              </w:rPr>
              <w:t xml:space="preserve"> understanding and speech are </w:t>
            </w:r>
            <w:r w:rsidRPr="008B58DB">
              <w:rPr>
                <w:sz w:val="20"/>
              </w:rPr>
              <w:t>significantly below for those children eligible for PP.</w:t>
            </w:r>
          </w:p>
          <w:p w14:paraId="2A7D54F1" w14:textId="5C75A0D3" w:rsidR="009E4159" w:rsidRPr="008B58DB" w:rsidRDefault="009E4159" w:rsidP="00D8007E">
            <w:pPr>
              <w:pStyle w:val="TableRowCentered"/>
              <w:jc w:val="left"/>
              <w:rPr>
                <w:sz w:val="20"/>
              </w:rPr>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95CA0" w14:textId="77777777" w:rsidR="009E4159" w:rsidRDefault="009E4159" w:rsidP="008B58DB">
            <w:pPr>
              <w:pStyle w:val="TableRowCentered"/>
              <w:jc w:val="left"/>
              <w:rPr>
                <w:sz w:val="20"/>
                <w:szCs w:val="22"/>
              </w:rPr>
            </w:pPr>
          </w:p>
          <w:p w14:paraId="203E1CB0" w14:textId="77777777" w:rsidR="00E66558" w:rsidRDefault="008B58DB" w:rsidP="008B58DB">
            <w:pPr>
              <w:pStyle w:val="TableRowCentered"/>
              <w:jc w:val="left"/>
              <w:rPr>
                <w:sz w:val="20"/>
                <w:szCs w:val="22"/>
              </w:rPr>
            </w:pPr>
            <w:r w:rsidRPr="008B58DB">
              <w:rPr>
                <w:sz w:val="20"/>
                <w:szCs w:val="22"/>
              </w:rPr>
              <w:t xml:space="preserve">Many pupils come from homes that are unable to support a positive learning culture and do not have easy access to quality books, reading environments or </w:t>
            </w:r>
            <w:r>
              <w:rPr>
                <w:sz w:val="20"/>
                <w:szCs w:val="22"/>
              </w:rPr>
              <w:t xml:space="preserve">the </w:t>
            </w:r>
            <w:r w:rsidRPr="008B58DB">
              <w:rPr>
                <w:sz w:val="20"/>
                <w:szCs w:val="22"/>
              </w:rPr>
              <w:t>skills to improve mathematics.</w:t>
            </w:r>
            <w:r w:rsidR="004513B7">
              <w:rPr>
                <w:sz w:val="20"/>
                <w:szCs w:val="22"/>
              </w:rPr>
              <w:t xml:space="preserve"> Many families also struggle with the devices required to engage fully with online / blended learning.</w:t>
            </w:r>
          </w:p>
          <w:p w14:paraId="2A7D54F4" w14:textId="6D8EF446" w:rsidR="009E4159" w:rsidRPr="008B58DB" w:rsidRDefault="009E4159" w:rsidP="008B58DB">
            <w:pPr>
              <w:pStyle w:val="TableRowCentered"/>
              <w:jc w:val="left"/>
              <w:rPr>
                <w:sz w:val="20"/>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B1CDD" w14:textId="77777777" w:rsidR="009E4159" w:rsidRDefault="009E4159" w:rsidP="008B58DB">
            <w:pPr>
              <w:pStyle w:val="TableRowCentered"/>
              <w:jc w:val="left"/>
              <w:rPr>
                <w:sz w:val="20"/>
                <w:szCs w:val="22"/>
              </w:rPr>
            </w:pPr>
          </w:p>
          <w:p w14:paraId="7284C342" w14:textId="77777777" w:rsidR="00E66558" w:rsidRDefault="008B58DB" w:rsidP="008B58DB">
            <w:pPr>
              <w:pStyle w:val="TableRowCentered"/>
              <w:jc w:val="left"/>
              <w:rPr>
                <w:sz w:val="20"/>
                <w:szCs w:val="22"/>
              </w:rPr>
            </w:pPr>
            <w:r w:rsidRPr="008B58DB">
              <w:rPr>
                <w:sz w:val="20"/>
                <w:szCs w:val="22"/>
              </w:rPr>
              <w:t>Many pupils do not have access to additional opportunities</w:t>
            </w:r>
            <w:r w:rsidR="004513B7">
              <w:rPr>
                <w:sz w:val="20"/>
                <w:szCs w:val="22"/>
              </w:rPr>
              <w:t>, including</w:t>
            </w:r>
            <w:r w:rsidRPr="008B58DB">
              <w:rPr>
                <w:sz w:val="20"/>
                <w:szCs w:val="22"/>
              </w:rPr>
              <w:t xml:space="preserve"> </w:t>
            </w:r>
            <w:r w:rsidR="004513B7" w:rsidRPr="004513B7">
              <w:rPr>
                <w:sz w:val="20"/>
                <w:szCs w:val="22"/>
              </w:rPr>
              <w:t>cultural capital</w:t>
            </w:r>
            <w:r w:rsidR="004513B7">
              <w:rPr>
                <w:sz w:val="20"/>
                <w:szCs w:val="22"/>
              </w:rPr>
              <w:t>,</w:t>
            </w:r>
            <w:r w:rsidR="004513B7" w:rsidRPr="004513B7">
              <w:rPr>
                <w:sz w:val="20"/>
                <w:szCs w:val="22"/>
              </w:rPr>
              <w:t xml:space="preserve"> </w:t>
            </w:r>
            <w:r w:rsidRPr="008B58DB">
              <w:rPr>
                <w:sz w:val="20"/>
                <w:szCs w:val="22"/>
              </w:rPr>
              <w:t>that are needed to provide a rounded education and the characteristics that lead to successful employment in the future</w:t>
            </w:r>
            <w:r>
              <w:rPr>
                <w:sz w:val="20"/>
                <w:szCs w:val="22"/>
              </w:rPr>
              <w:t>.</w:t>
            </w:r>
          </w:p>
          <w:p w14:paraId="2A7D54F7" w14:textId="4A13BE9F" w:rsidR="009E4159" w:rsidRPr="008B58DB" w:rsidRDefault="009E4159" w:rsidP="008B58DB">
            <w:pPr>
              <w:pStyle w:val="TableRowCentered"/>
              <w:jc w:val="left"/>
              <w:rPr>
                <w:sz w:val="20"/>
                <w:szCs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F718930" w:rsidR="00E66558" w:rsidRDefault="004513B7">
            <w:pPr>
              <w:pStyle w:val="TableRow"/>
              <w:rPr>
                <w:sz w:val="22"/>
                <w:szCs w:val="22"/>
              </w:rPr>
            </w:pPr>
            <w:bookmarkStart w:id="16"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F260" w14:textId="77777777" w:rsidR="009E4159" w:rsidRDefault="009E4159" w:rsidP="008B58DB">
            <w:pPr>
              <w:pStyle w:val="TableRowCentered"/>
              <w:jc w:val="left"/>
              <w:rPr>
                <w:iCs/>
                <w:sz w:val="20"/>
              </w:rPr>
            </w:pPr>
          </w:p>
          <w:p w14:paraId="59F5CA54" w14:textId="77777777" w:rsidR="009E4159" w:rsidRDefault="008B58DB" w:rsidP="005D1512">
            <w:pPr>
              <w:pStyle w:val="TableRowCentered"/>
              <w:jc w:val="left"/>
              <w:rPr>
                <w:iCs/>
                <w:sz w:val="20"/>
              </w:rPr>
            </w:pPr>
            <w:r w:rsidRPr="008B58DB">
              <w:rPr>
                <w:iCs/>
                <w:sz w:val="20"/>
              </w:rPr>
              <w:t>Parental Engagement</w:t>
            </w:r>
            <w:r>
              <w:rPr>
                <w:iCs/>
                <w:sz w:val="20"/>
              </w:rPr>
              <w:t xml:space="preserve"> is a barrier for many of our PP families</w:t>
            </w:r>
            <w:r w:rsidR="004513B7">
              <w:rPr>
                <w:iCs/>
                <w:sz w:val="20"/>
              </w:rPr>
              <w:t>.</w:t>
            </w:r>
            <w:r>
              <w:rPr>
                <w:iCs/>
                <w:sz w:val="20"/>
              </w:rPr>
              <w:t xml:space="preserve"> Our s</w:t>
            </w:r>
            <w:r w:rsidRPr="008B58DB">
              <w:rPr>
                <w:iCs/>
                <w:sz w:val="20"/>
              </w:rPr>
              <w:t xml:space="preserve">chool is located in a deprived area where </w:t>
            </w:r>
            <w:r>
              <w:rPr>
                <w:iCs/>
                <w:sz w:val="20"/>
              </w:rPr>
              <w:t xml:space="preserve">unemployment is high. </w:t>
            </w:r>
          </w:p>
          <w:p w14:paraId="2A7D54FD" w14:textId="10C468D1" w:rsidR="005D1512" w:rsidRPr="008B58DB" w:rsidRDefault="005D1512" w:rsidP="005D1512">
            <w:pPr>
              <w:pStyle w:val="TableRowCentered"/>
              <w:jc w:val="left"/>
              <w:rPr>
                <w:iCs/>
                <w:sz w:val="20"/>
              </w:rPr>
            </w:pPr>
          </w:p>
        </w:tc>
      </w:tr>
      <w:tr w:rsidR="008B58DB" w14:paraId="7205D33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8348F" w14:textId="41FDDE62" w:rsidR="008B58DB" w:rsidRDefault="004513B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C27B" w14:textId="77777777" w:rsidR="009E4159" w:rsidRDefault="009E4159" w:rsidP="008B58DB">
            <w:pPr>
              <w:pStyle w:val="TableRowCentered"/>
              <w:jc w:val="left"/>
              <w:rPr>
                <w:iCs/>
                <w:sz w:val="20"/>
              </w:rPr>
            </w:pPr>
          </w:p>
          <w:p w14:paraId="59CFAD74" w14:textId="77777777" w:rsidR="008B58DB" w:rsidRDefault="008B58DB" w:rsidP="008B58DB">
            <w:pPr>
              <w:pStyle w:val="TableRowCentered"/>
              <w:jc w:val="left"/>
              <w:rPr>
                <w:iCs/>
                <w:sz w:val="20"/>
              </w:rPr>
            </w:pPr>
            <w:r w:rsidRPr="008B58DB">
              <w:rPr>
                <w:iCs/>
                <w:sz w:val="20"/>
              </w:rPr>
              <w:t>Pup</w:t>
            </w:r>
            <w:r>
              <w:rPr>
                <w:iCs/>
                <w:sz w:val="20"/>
              </w:rPr>
              <w:t>il Attendance, in particular persistent absence, is a barrier for many PP children.</w:t>
            </w:r>
          </w:p>
          <w:p w14:paraId="4AD54005" w14:textId="2A5D5697" w:rsidR="009E4159" w:rsidRPr="008B58DB" w:rsidRDefault="009E4159" w:rsidP="008B58DB">
            <w:pPr>
              <w:pStyle w:val="TableRowCentered"/>
              <w:jc w:val="left"/>
              <w:rPr>
                <w:iCs/>
                <w:sz w:val="20"/>
              </w:rPr>
            </w:pPr>
          </w:p>
        </w:tc>
      </w:tr>
      <w:tr w:rsidR="004513B7" w14:paraId="739DF85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2BDF4" w14:textId="77777777" w:rsidR="004513B7" w:rsidRDefault="004513B7">
            <w:pPr>
              <w:pStyle w:val="TableRow"/>
              <w:rPr>
                <w:sz w:val="22"/>
                <w:szCs w:val="22"/>
              </w:rPr>
            </w:pPr>
            <w:r>
              <w:rPr>
                <w:sz w:val="22"/>
                <w:szCs w:val="22"/>
              </w:rPr>
              <w:t>6</w:t>
            </w:r>
          </w:p>
          <w:p w14:paraId="44182D4D" w14:textId="264AFE19" w:rsidR="009E4159" w:rsidRDefault="009E4159">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310AA" w14:textId="77777777" w:rsidR="009E4159" w:rsidRDefault="009E4159" w:rsidP="004513B7">
            <w:pPr>
              <w:pStyle w:val="TableRowCentered"/>
              <w:jc w:val="left"/>
              <w:rPr>
                <w:iCs/>
                <w:sz w:val="20"/>
              </w:rPr>
            </w:pPr>
          </w:p>
          <w:p w14:paraId="59A15932" w14:textId="0700344D" w:rsidR="004513B7" w:rsidRDefault="004513B7" w:rsidP="004513B7">
            <w:pPr>
              <w:pStyle w:val="TableRowCentered"/>
              <w:jc w:val="left"/>
              <w:rPr>
                <w:iCs/>
                <w:sz w:val="20"/>
              </w:rPr>
            </w:pPr>
            <w:r>
              <w:rPr>
                <w:iCs/>
                <w:sz w:val="20"/>
              </w:rPr>
              <w:t>Poor l</w:t>
            </w:r>
            <w:r w:rsidRPr="004513B7">
              <w:rPr>
                <w:iCs/>
                <w:sz w:val="20"/>
              </w:rPr>
              <w:t>iving environment</w:t>
            </w:r>
            <w:r>
              <w:rPr>
                <w:iCs/>
                <w:sz w:val="20"/>
              </w:rPr>
              <w:t xml:space="preserve">s and high levels of deprivation are present for many of our PP families. </w:t>
            </w:r>
            <w:r w:rsidR="00D740C1">
              <w:rPr>
                <w:iCs/>
                <w:sz w:val="20"/>
              </w:rPr>
              <w:t xml:space="preserve">Many families require support with housing, food, clothing </w:t>
            </w:r>
            <w:proofErr w:type="spellStart"/>
            <w:r w:rsidR="00D740C1">
              <w:rPr>
                <w:iCs/>
                <w:sz w:val="20"/>
              </w:rPr>
              <w:t>ect</w:t>
            </w:r>
            <w:proofErr w:type="spellEnd"/>
            <w:r w:rsidR="00D740C1">
              <w:rPr>
                <w:iCs/>
                <w:sz w:val="20"/>
              </w:rPr>
              <w:t>.</w:t>
            </w:r>
          </w:p>
          <w:p w14:paraId="6E8EB40B" w14:textId="389224FA" w:rsidR="009E4159" w:rsidRPr="008B58DB" w:rsidRDefault="009E4159" w:rsidP="004513B7">
            <w:pPr>
              <w:pStyle w:val="TableRowCentered"/>
              <w:jc w:val="left"/>
              <w:rPr>
                <w:iCs/>
                <w:sz w:val="20"/>
              </w:rPr>
            </w:pPr>
          </w:p>
        </w:tc>
      </w:tr>
      <w:tr w:rsidR="004513B7" w14:paraId="538B2D0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E56D6" w14:textId="32826B1A" w:rsidR="004513B7" w:rsidRDefault="004513B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DBEE" w14:textId="77777777" w:rsidR="009E4159" w:rsidRDefault="009E4159" w:rsidP="004513B7">
            <w:pPr>
              <w:pStyle w:val="TableRowCentered"/>
              <w:jc w:val="left"/>
              <w:rPr>
                <w:iCs/>
                <w:sz w:val="20"/>
              </w:rPr>
            </w:pPr>
          </w:p>
          <w:p w14:paraId="0B22852B" w14:textId="13E1CDFA" w:rsidR="004513B7" w:rsidRDefault="004513B7" w:rsidP="004513B7">
            <w:pPr>
              <w:pStyle w:val="TableRowCentered"/>
              <w:jc w:val="left"/>
              <w:rPr>
                <w:iCs/>
                <w:sz w:val="20"/>
              </w:rPr>
            </w:pPr>
            <w:r>
              <w:rPr>
                <w:iCs/>
                <w:sz w:val="20"/>
              </w:rPr>
              <w:t>Many of our PP children have experienced ACEs and demonstrate poor social, emotional and mental health.</w:t>
            </w:r>
            <w:r w:rsidR="009E4159">
              <w:rPr>
                <w:iCs/>
                <w:sz w:val="20"/>
              </w:rPr>
              <w:t xml:space="preserve"> </w:t>
            </w:r>
          </w:p>
          <w:p w14:paraId="57863AD0" w14:textId="233D8BA2" w:rsidR="009E4159" w:rsidRDefault="009E4159" w:rsidP="004513B7">
            <w:pPr>
              <w:pStyle w:val="TableRowCentered"/>
              <w:jc w:val="left"/>
              <w:rPr>
                <w:iCs/>
                <w:sz w:val="20"/>
              </w:rPr>
            </w:pPr>
          </w:p>
        </w:tc>
      </w:tr>
      <w:tr w:rsidR="005D1512" w14:paraId="26B755BD" w14:textId="77777777" w:rsidTr="00720022">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5734" w14:textId="77777777" w:rsidR="005D1512" w:rsidRDefault="005D1512" w:rsidP="004513B7">
            <w:pPr>
              <w:pStyle w:val="TableRowCentered"/>
              <w:jc w:val="left"/>
              <w:rPr>
                <w:iCs/>
                <w:sz w:val="20"/>
              </w:rPr>
            </w:pPr>
          </w:p>
          <w:p w14:paraId="667EBA20" w14:textId="1214E664" w:rsidR="005D1512" w:rsidRDefault="005D1512" w:rsidP="004513B7">
            <w:pPr>
              <w:pStyle w:val="TableRowCentered"/>
              <w:jc w:val="left"/>
              <w:rPr>
                <w:iCs/>
                <w:sz w:val="20"/>
              </w:rPr>
            </w:pPr>
          </w:p>
        </w:tc>
      </w:tr>
    </w:tbl>
    <w:p w14:paraId="37DAC6DA" w14:textId="7A4114CD" w:rsidR="009E4159" w:rsidRPr="009E4159" w:rsidRDefault="009D71E8" w:rsidP="009E4159">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ABBDD39" w:rsidR="00E66558" w:rsidRPr="00CE1BD6" w:rsidRDefault="009E4159" w:rsidP="009E4159">
            <w:pPr>
              <w:pStyle w:val="TableRow"/>
              <w:rPr>
                <w:sz w:val="22"/>
              </w:rPr>
            </w:pPr>
            <w:r>
              <w:rPr>
                <w:sz w:val="22"/>
              </w:rPr>
              <w:t>For all children, including PP children, t</w:t>
            </w:r>
            <w:r w:rsidR="00CE1BD6" w:rsidRPr="00CE1BD6">
              <w:rPr>
                <w:sz w:val="22"/>
              </w:rPr>
              <w:t xml:space="preserve">o achieve in line with national expectations for reading, writing and maths in both KS1 and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C80DC4B" w:rsidR="00E66558" w:rsidRDefault="00CE1BD6">
            <w:pPr>
              <w:pStyle w:val="TableRowCentered"/>
              <w:jc w:val="left"/>
              <w:rPr>
                <w:sz w:val="22"/>
                <w:szCs w:val="22"/>
              </w:rPr>
            </w:pPr>
            <w:r>
              <w:rPr>
                <w:sz w:val="22"/>
                <w:szCs w:val="22"/>
              </w:rPr>
              <w:t xml:space="preserve">Attainment in </w:t>
            </w:r>
            <w:r w:rsidR="00983B87">
              <w:rPr>
                <w:sz w:val="22"/>
                <w:szCs w:val="22"/>
              </w:rPr>
              <w:t>2024</w:t>
            </w:r>
            <w:r>
              <w:rPr>
                <w:sz w:val="22"/>
                <w:szCs w:val="22"/>
              </w:rPr>
              <w:t xml:space="preserve"> statutory assessments.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29C5865" w:rsidR="00E66558" w:rsidRPr="00CE1BD6" w:rsidRDefault="009E4159">
            <w:pPr>
              <w:pStyle w:val="TableRow"/>
              <w:rPr>
                <w:sz w:val="22"/>
                <w:szCs w:val="22"/>
              </w:rPr>
            </w:pPr>
            <w:r>
              <w:rPr>
                <w:sz w:val="22"/>
              </w:rPr>
              <w:t>For all children, including PP children, t</w:t>
            </w:r>
            <w:r w:rsidRPr="00CE1BD6">
              <w:rPr>
                <w:sz w:val="22"/>
              </w:rPr>
              <w:t>o</w:t>
            </w:r>
            <w:r w:rsidR="00CE1BD6" w:rsidRPr="00CE1BD6">
              <w:rPr>
                <w:sz w:val="22"/>
              </w:rPr>
              <w:t xml:space="preserve"> achieve national average progress scores (0) for reading, writing and maths in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A525D04" w:rsidR="00E66558" w:rsidRDefault="00CE1BD6">
            <w:pPr>
              <w:pStyle w:val="TableRowCentered"/>
              <w:jc w:val="left"/>
              <w:rPr>
                <w:sz w:val="22"/>
                <w:szCs w:val="22"/>
              </w:rPr>
            </w:pPr>
            <w:r>
              <w:rPr>
                <w:sz w:val="22"/>
                <w:szCs w:val="22"/>
              </w:rPr>
              <w:t xml:space="preserve">Attainment in </w:t>
            </w:r>
            <w:r w:rsidR="00983B87">
              <w:rPr>
                <w:sz w:val="22"/>
                <w:szCs w:val="22"/>
              </w:rPr>
              <w:t>2024</w:t>
            </w:r>
            <w:r>
              <w:rPr>
                <w:sz w:val="22"/>
                <w:szCs w:val="22"/>
              </w:rPr>
              <w:t xml:space="preserve"> statutory assessments.</w:t>
            </w:r>
          </w:p>
        </w:tc>
      </w:tr>
      <w:tr w:rsidR="00CE1BD6" w14:paraId="1B7A1A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E2AD" w14:textId="3A3DB125" w:rsidR="00CE1BD6" w:rsidRPr="006E0FF7" w:rsidRDefault="009E4159" w:rsidP="007A066A">
            <w:pPr>
              <w:pStyle w:val="TableRow"/>
              <w:rPr>
                <w:color w:val="auto"/>
                <w:sz w:val="22"/>
              </w:rPr>
            </w:pPr>
            <w:r w:rsidRPr="006E0FF7">
              <w:rPr>
                <w:color w:val="auto"/>
                <w:sz w:val="22"/>
              </w:rPr>
              <w:t>For all children, including PP children, to</w:t>
            </w:r>
            <w:r w:rsidR="007A066A" w:rsidRPr="006E0FF7">
              <w:rPr>
                <w:color w:val="auto"/>
                <w:sz w:val="22"/>
              </w:rPr>
              <w:t xml:space="preserve"> attain well</w:t>
            </w:r>
            <w:r w:rsidR="00CE1BD6" w:rsidRPr="006E0FF7">
              <w:rPr>
                <w:color w:val="auto"/>
                <w:sz w:val="22"/>
              </w:rPr>
              <w:t xml:space="preserve"> </w:t>
            </w:r>
            <w:r w:rsidR="007A066A" w:rsidRPr="006E0FF7">
              <w:rPr>
                <w:color w:val="auto"/>
                <w:sz w:val="22"/>
              </w:rPr>
              <w:t xml:space="preserve">in </w:t>
            </w:r>
            <w:r w:rsidR="00CE1BD6" w:rsidRPr="006E0FF7">
              <w:rPr>
                <w:color w:val="auto"/>
                <w:sz w:val="22"/>
              </w:rPr>
              <w:t xml:space="preserve">the </w:t>
            </w:r>
            <w:r w:rsidR="007A066A" w:rsidRPr="006E0FF7">
              <w:rPr>
                <w:color w:val="auto"/>
                <w:sz w:val="22"/>
              </w:rPr>
              <w:t xml:space="preserve">statutory </w:t>
            </w:r>
            <w:r w:rsidR="00CE1BD6" w:rsidRPr="006E0FF7">
              <w:rPr>
                <w:color w:val="auto"/>
                <w:sz w:val="22"/>
              </w:rPr>
              <w:t>multiplication tables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B693" w14:textId="5786BBC4" w:rsidR="00CE1BD6" w:rsidRPr="006E0FF7" w:rsidRDefault="00CE1BD6">
            <w:pPr>
              <w:pStyle w:val="TableRowCentered"/>
              <w:jc w:val="left"/>
              <w:rPr>
                <w:color w:val="auto"/>
                <w:sz w:val="22"/>
                <w:szCs w:val="22"/>
              </w:rPr>
            </w:pPr>
            <w:r w:rsidRPr="006E0FF7">
              <w:rPr>
                <w:color w:val="auto"/>
                <w:sz w:val="22"/>
                <w:szCs w:val="22"/>
              </w:rPr>
              <w:t xml:space="preserve">Attainment in </w:t>
            </w:r>
            <w:r w:rsidR="00983B87">
              <w:rPr>
                <w:color w:val="auto"/>
                <w:sz w:val="22"/>
                <w:szCs w:val="22"/>
              </w:rPr>
              <w:t>2024</w:t>
            </w:r>
            <w:r w:rsidRPr="006E0FF7">
              <w:rPr>
                <w:color w:val="auto"/>
                <w:sz w:val="22"/>
                <w:szCs w:val="22"/>
              </w:rPr>
              <w:t xml:space="preserve"> statutory assessment.</w:t>
            </w:r>
          </w:p>
        </w:tc>
      </w:tr>
      <w:tr w:rsidR="00CE1BD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5862032" w:rsidR="00CE1BD6" w:rsidRPr="00CE1BD6" w:rsidRDefault="009E4159" w:rsidP="00CE1BD6">
            <w:pPr>
              <w:pStyle w:val="TableRow"/>
              <w:rPr>
                <w:sz w:val="22"/>
                <w:szCs w:val="22"/>
              </w:rPr>
            </w:pPr>
            <w:r>
              <w:rPr>
                <w:sz w:val="22"/>
              </w:rPr>
              <w:t>For all children, including PP children, t</w:t>
            </w:r>
            <w:r w:rsidRPr="00CE1BD6">
              <w:rPr>
                <w:sz w:val="22"/>
              </w:rPr>
              <w:t>o</w:t>
            </w:r>
            <w:r w:rsidR="00CE1BD6" w:rsidRPr="00CE1BD6">
              <w:rPr>
                <w:sz w:val="22"/>
              </w:rPr>
              <w:t xml:space="preserve"> achieve national average expected standard in Phonics Screen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5456D8F" w:rsidR="00CE1BD6" w:rsidRDefault="00CE1BD6" w:rsidP="00CE1BD6">
            <w:pPr>
              <w:pStyle w:val="TableRowCentered"/>
              <w:jc w:val="left"/>
              <w:rPr>
                <w:sz w:val="22"/>
                <w:szCs w:val="22"/>
              </w:rPr>
            </w:pPr>
            <w:r>
              <w:rPr>
                <w:sz w:val="22"/>
                <w:szCs w:val="22"/>
              </w:rPr>
              <w:t xml:space="preserve">Attainment in </w:t>
            </w:r>
            <w:r w:rsidR="00983B87">
              <w:rPr>
                <w:sz w:val="22"/>
                <w:szCs w:val="22"/>
              </w:rPr>
              <w:t>2024</w:t>
            </w:r>
            <w:r>
              <w:rPr>
                <w:sz w:val="22"/>
                <w:szCs w:val="22"/>
              </w:rPr>
              <w:t xml:space="preserve"> statutory assessment.</w:t>
            </w:r>
          </w:p>
        </w:tc>
      </w:tr>
      <w:tr w:rsidR="00CE1BD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E1B4026" w:rsidR="00CE1BD6" w:rsidRDefault="00CE1BD6" w:rsidP="00CE1BD6">
            <w:pPr>
              <w:pStyle w:val="TableRow"/>
              <w:rPr>
                <w:sz w:val="22"/>
                <w:szCs w:val="22"/>
              </w:rPr>
            </w:pPr>
            <w:r w:rsidRPr="00CE1BD6">
              <w:rPr>
                <w:sz w:val="22"/>
                <w:szCs w:val="22"/>
              </w:rPr>
              <w:t>Improve the qu</w:t>
            </w:r>
            <w:r>
              <w:rPr>
                <w:sz w:val="22"/>
                <w:szCs w:val="22"/>
              </w:rPr>
              <w:t xml:space="preserve">ality of teaching and therefore </w:t>
            </w:r>
            <w:r w:rsidRPr="00CE1BD6">
              <w:rPr>
                <w:sz w:val="22"/>
                <w:szCs w:val="22"/>
              </w:rPr>
              <w:t>improve the rates of progress for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CCC7A" w14:textId="77777777" w:rsidR="00CE1BD6" w:rsidRPr="00CE1BD6" w:rsidRDefault="00CE1BD6" w:rsidP="00CE1BD6">
            <w:pPr>
              <w:pStyle w:val="TableRowCentered"/>
              <w:ind w:left="0"/>
              <w:jc w:val="left"/>
              <w:rPr>
                <w:sz w:val="22"/>
                <w:szCs w:val="22"/>
              </w:rPr>
            </w:pPr>
            <w:r w:rsidRPr="00CE1BD6">
              <w:rPr>
                <w:sz w:val="22"/>
                <w:szCs w:val="22"/>
              </w:rPr>
              <w:t>Accelerated progress rates for PP children.</w:t>
            </w:r>
          </w:p>
          <w:p w14:paraId="2A7D550E" w14:textId="0B30D691" w:rsidR="00CE1BD6" w:rsidRDefault="00CE1BD6" w:rsidP="00CE1BD6">
            <w:pPr>
              <w:pStyle w:val="TableRowCentered"/>
              <w:ind w:left="0"/>
              <w:jc w:val="left"/>
              <w:rPr>
                <w:sz w:val="22"/>
                <w:szCs w:val="22"/>
              </w:rPr>
            </w:pPr>
            <w:r w:rsidRPr="00CE1BD6">
              <w:rPr>
                <w:sz w:val="22"/>
                <w:szCs w:val="22"/>
              </w:rPr>
              <w:t>Improvements in children’s confidence to apply learning across the curriculum.</w:t>
            </w:r>
          </w:p>
        </w:tc>
      </w:tr>
      <w:tr w:rsidR="009E4159" w14:paraId="113196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B9BFB" w14:textId="42E97A1D" w:rsidR="009E4159" w:rsidRPr="00CE1BD6" w:rsidRDefault="009E4159" w:rsidP="009E4159">
            <w:pPr>
              <w:pStyle w:val="TableRow"/>
              <w:rPr>
                <w:sz w:val="22"/>
                <w:szCs w:val="22"/>
              </w:rPr>
            </w:pPr>
            <w:r w:rsidRPr="009E4159">
              <w:rPr>
                <w:sz w:val="22"/>
                <w:szCs w:val="22"/>
              </w:rPr>
              <w:t>To decrease the gap in attainment between PP and non-PP pupils in reading</w:t>
            </w:r>
            <w:r>
              <w:rPr>
                <w:sz w:val="22"/>
                <w:szCs w:val="22"/>
              </w:rPr>
              <w:t>, writing and maths</w:t>
            </w:r>
            <w:r w:rsidRPr="009E4159">
              <w:rPr>
                <w:sz w:val="22"/>
                <w:szCs w:val="22"/>
              </w:rPr>
              <w:t xml:space="preserve"> in EYFS, KS1 and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BCF04" w14:textId="2D2071E4" w:rsidR="009E4159" w:rsidRPr="00CE1BD6" w:rsidRDefault="009E4159" w:rsidP="00CE1BD6">
            <w:pPr>
              <w:pStyle w:val="TableRowCentered"/>
              <w:ind w:left="0"/>
              <w:jc w:val="left"/>
              <w:rPr>
                <w:sz w:val="22"/>
                <w:szCs w:val="22"/>
              </w:rPr>
            </w:pPr>
            <w:r w:rsidRPr="009E4159">
              <w:rPr>
                <w:sz w:val="22"/>
                <w:szCs w:val="22"/>
              </w:rPr>
              <w:t>No gap between disadvantaged and other children.</w:t>
            </w:r>
          </w:p>
        </w:tc>
      </w:tr>
      <w:tr w:rsidR="009E4159" w14:paraId="1CE359E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0F350" w14:textId="287CE0AF" w:rsidR="009E4159" w:rsidRPr="009E4159" w:rsidRDefault="009E4159" w:rsidP="009E4159">
            <w:pPr>
              <w:pStyle w:val="TableRow"/>
              <w:rPr>
                <w:sz w:val="22"/>
                <w:szCs w:val="22"/>
              </w:rPr>
            </w:pPr>
            <w:r w:rsidRPr="009E4159">
              <w:rPr>
                <w:sz w:val="22"/>
                <w:szCs w:val="22"/>
              </w:rPr>
              <w:t>To decrease the attainment gap in Phonics between PP and non 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F80F" w14:textId="7E196118" w:rsidR="009E4159" w:rsidRPr="009E4159" w:rsidRDefault="009E4159" w:rsidP="009E4159">
            <w:pPr>
              <w:pStyle w:val="TableRowCentered"/>
              <w:jc w:val="left"/>
              <w:rPr>
                <w:sz w:val="22"/>
                <w:szCs w:val="22"/>
              </w:rPr>
            </w:pPr>
            <w:r w:rsidRPr="009E4159">
              <w:rPr>
                <w:sz w:val="22"/>
                <w:szCs w:val="22"/>
              </w:rPr>
              <w:t>No gap between disadvantaged and other children.</w:t>
            </w:r>
          </w:p>
        </w:tc>
      </w:tr>
      <w:tr w:rsidR="009E4159" w14:paraId="79A74C3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4C02" w14:textId="77777777" w:rsidR="009E4159" w:rsidRPr="009E4159" w:rsidRDefault="009E4159" w:rsidP="009E4159">
            <w:pPr>
              <w:pStyle w:val="TableRow"/>
              <w:rPr>
                <w:sz w:val="22"/>
                <w:szCs w:val="22"/>
              </w:rPr>
            </w:pPr>
            <w:r w:rsidRPr="009E4159">
              <w:rPr>
                <w:sz w:val="22"/>
                <w:szCs w:val="22"/>
              </w:rPr>
              <w:t xml:space="preserve">Improved attendances rates of all pupils </w:t>
            </w:r>
          </w:p>
          <w:p w14:paraId="5F781395" w14:textId="218F25C7" w:rsidR="009E4159" w:rsidRPr="009E4159" w:rsidRDefault="009E4159" w:rsidP="009E4159">
            <w:pPr>
              <w:pStyle w:val="TableRow"/>
              <w:rPr>
                <w:sz w:val="22"/>
                <w:szCs w:val="22"/>
              </w:rPr>
            </w:pPr>
            <w:r w:rsidRPr="009E4159">
              <w:rPr>
                <w:sz w:val="22"/>
                <w:szCs w:val="22"/>
              </w:rPr>
              <w:t>(including disadvantaged).</w:t>
            </w:r>
            <w:r>
              <w:rPr>
                <w:sz w:val="22"/>
                <w:szCs w:val="22"/>
              </w:rPr>
              <w:t xml:space="preserve"> For the percentage</w:t>
            </w:r>
            <w:r w:rsidRPr="009E4159">
              <w:rPr>
                <w:sz w:val="22"/>
                <w:szCs w:val="22"/>
              </w:rPr>
              <w:t xml:space="preserve"> of persistent absentees </w:t>
            </w:r>
            <w:r>
              <w:rPr>
                <w:sz w:val="22"/>
                <w:szCs w:val="22"/>
              </w:rPr>
              <w:t>to continue</w:t>
            </w:r>
            <w:r w:rsidRPr="009E4159">
              <w:rPr>
                <w:sz w:val="22"/>
                <w:szCs w:val="22"/>
              </w:rPr>
              <w:t xml:space="preserve"> to reduce.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788F" w14:textId="77777777" w:rsidR="009E4159" w:rsidRPr="009E4159" w:rsidRDefault="009E4159" w:rsidP="009E4159">
            <w:pPr>
              <w:pStyle w:val="TableRowCentered"/>
              <w:jc w:val="left"/>
              <w:rPr>
                <w:sz w:val="22"/>
                <w:szCs w:val="22"/>
              </w:rPr>
            </w:pPr>
            <w:r w:rsidRPr="009E4159">
              <w:rPr>
                <w:sz w:val="22"/>
                <w:szCs w:val="22"/>
              </w:rPr>
              <w:t>No gap between disadvantaged and other children.</w:t>
            </w:r>
          </w:p>
          <w:p w14:paraId="1C942049" w14:textId="5C0ADD26" w:rsidR="009E4159" w:rsidRPr="009E4159" w:rsidRDefault="009E4159" w:rsidP="009E4159">
            <w:pPr>
              <w:pStyle w:val="TableRowCentered"/>
              <w:jc w:val="left"/>
              <w:rPr>
                <w:sz w:val="22"/>
                <w:szCs w:val="22"/>
              </w:rPr>
            </w:pPr>
            <w:r w:rsidRPr="009E4159">
              <w:rPr>
                <w:sz w:val="22"/>
                <w:szCs w:val="22"/>
              </w:rPr>
              <w:t>Persistent absenteeism rate to be less than national figures.</w:t>
            </w:r>
          </w:p>
        </w:tc>
      </w:tr>
      <w:tr w:rsidR="009E4159" w14:paraId="6C5C7C1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D44F" w14:textId="09EDE002" w:rsidR="009E4159" w:rsidRPr="009E4159" w:rsidRDefault="009E4159" w:rsidP="009E4159">
            <w:pPr>
              <w:pStyle w:val="TableRow"/>
              <w:rPr>
                <w:sz w:val="22"/>
                <w:szCs w:val="22"/>
              </w:rPr>
            </w:pPr>
            <w:r w:rsidRPr="009E4159">
              <w:rPr>
                <w:sz w:val="22"/>
                <w:szCs w:val="22"/>
              </w:rPr>
              <w:t>Improve children’s emotional well-being in order to engage better with learning in class.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A674" w14:textId="72959770" w:rsidR="009E4159" w:rsidRPr="009E4159" w:rsidRDefault="009E4159" w:rsidP="009E4159">
            <w:pPr>
              <w:pStyle w:val="TableRowCentered"/>
              <w:jc w:val="left"/>
              <w:rPr>
                <w:sz w:val="22"/>
                <w:szCs w:val="22"/>
              </w:rPr>
            </w:pPr>
            <w:r w:rsidRPr="009E4159">
              <w:rPr>
                <w:sz w:val="22"/>
                <w:szCs w:val="22"/>
              </w:rPr>
              <w:t>Noticeable improvement in learning engagement for targeted children.</w:t>
            </w:r>
          </w:p>
        </w:tc>
      </w:tr>
      <w:tr w:rsidR="009E4159" w14:paraId="5EE0BAA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500DE" w14:textId="2AF89B9F" w:rsidR="009E4159" w:rsidRPr="009E4159" w:rsidRDefault="009E4159" w:rsidP="009E4159">
            <w:pPr>
              <w:pStyle w:val="TableRow"/>
              <w:rPr>
                <w:sz w:val="22"/>
                <w:szCs w:val="22"/>
              </w:rPr>
            </w:pPr>
            <w:r w:rsidRPr="009E4159">
              <w:rPr>
                <w:sz w:val="22"/>
                <w:szCs w:val="22"/>
              </w:rPr>
              <w:t xml:space="preserve">Improve children’s </w:t>
            </w:r>
            <w:r>
              <w:rPr>
                <w:sz w:val="22"/>
                <w:szCs w:val="22"/>
              </w:rPr>
              <w:t>behaviour</w:t>
            </w:r>
            <w:r w:rsidRPr="009E4159">
              <w:rPr>
                <w:sz w:val="22"/>
                <w:szCs w:val="22"/>
              </w:rPr>
              <w:t xml:space="preserve"> in order to engage better with learning in class.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F2CA6" w14:textId="40595DCF" w:rsidR="009E4159" w:rsidRPr="009E4159" w:rsidRDefault="009E4159" w:rsidP="009E4159">
            <w:pPr>
              <w:pStyle w:val="TableRowCentered"/>
              <w:jc w:val="left"/>
              <w:rPr>
                <w:sz w:val="22"/>
                <w:szCs w:val="22"/>
              </w:rPr>
            </w:pPr>
            <w:r w:rsidRPr="009E4159">
              <w:rPr>
                <w:sz w:val="22"/>
                <w:szCs w:val="22"/>
              </w:rPr>
              <w:t>Noticeable improvement in learning engagement for targeted children.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45F1A806" w:rsidR="00E66558" w:rsidRDefault="009E4159">
      <w:pPr>
        <w:pStyle w:val="Heading3"/>
      </w:pPr>
      <w:r>
        <w:t xml:space="preserve">Teaching </w:t>
      </w:r>
    </w:p>
    <w:p w14:paraId="2A7D5515" w14:textId="752D6CB5" w:rsidR="00E66558" w:rsidRDefault="00286560">
      <w:r>
        <w:t xml:space="preserve">Budgeted </w:t>
      </w:r>
      <w:r w:rsidR="00983B87">
        <w:rPr>
          <w:color w:val="auto"/>
        </w:rPr>
        <w:t>cost</w:t>
      </w:r>
      <w:r w:rsidR="00983B87" w:rsidRPr="00983B87">
        <w:rPr>
          <w:color w:val="auto"/>
        </w:rPr>
        <w:t>: £69,071</w:t>
      </w:r>
    </w:p>
    <w:tbl>
      <w:tblPr>
        <w:tblW w:w="5000" w:type="pct"/>
        <w:tblCellMar>
          <w:left w:w="10" w:type="dxa"/>
          <w:right w:w="10" w:type="dxa"/>
        </w:tblCellMar>
        <w:tblLook w:val="04A0" w:firstRow="1" w:lastRow="0" w:firstColumn="1" w:lastColumn="0" w:noHBand="0" w:noVBand="1"/>
      </w:tblPr>
      <w:tblGrid>
        <w:gridCol w:w="2405"/>
        <w:gridCol w:w="5528"/>
        <w:gridCol w:w="1553"/>
      </w:tblGrid>
      <w:tr w:rsidR="00E66558" w14:paraId="2A7D5519" w14:textId="77777777" w:rsidTr="00276C40">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D740C1" w14:paraId="2A7D551D" w14:textId="77777777" w:rsidTr="00276C40">
        <w:trPr>
          <w:trHeight w:val="499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B6D48" w14:textId="7F6CEAF9" w:rsidR="00276C40" w:rsidRDefault="00276C40" w:rsidP="00276C40">
            <w:pPr>
              <w:pStyle w:val="TableRow"/>
              <w:ind w:left="0"/>
              <w:rPr>
                <w:sz w:val="20"/>
                <w:szCs w:val="20"/>
              </w:rPr>
            </w:pPr>
            <w:r w:rsidRPr="008B58DB">
              <w:rPr>
                <w:sz w:val="20"/>
                <w:szCs w:val="20"/>
              </w:rPr>
              <w:t xml:space="preserve">Continued access to high quality CPD for staff to ensure quality first </w:t>
            </w:r>
            <w:r>
              <w:rPr>
                <w:sz w:val="20"/>
                <w:szCs w:val="20"/>
              </w:rPr>
              <w:t xml:space="preserve">mastery </w:t>
            </w:r>
            <w:r w:rsidRPr="008B58DB">
              <w:rPr>
                <w:sz w:val="20"/>
                <w:szCs w:val="20"/>
              </w:rPr>
              <w:t xml:space="preserve">teaching is widespread throughout the school. </w:t>
            </w:r>
          </w:p>
          <w:p w14:paraId="107F5283" w14:textId="52812293" w:rsidR="006E0FF7" w:rsidRDefault="006E0FF7" w:rsidP="00276C40">
            <w:pPr>
              <w:pStyle w:val="TableRow"/>
              <w:ind w:left="0"/>
              <w:rPr>
                <w:sz w:val="20"/>
                <w:szCs w:val="20"/>
              </w:rPr>
            </w:pPr>
            <w:r>
              <w:rPr>
                <w:sz w:val="20"/>
                <w:szCs w:val="20"/>
              </w:rPr>
              <w:t>Continued work with School Improvement Liverpool and Rose Littler.</w:t>
            </w:r>
          </w:p>
          <w:p w14:paraId="77685B2A" w14:textId="77777777" w:rsidR="00276C40" w:rsidRDefault="00276C40" w:rsidP="00276C40">
            <w:pPr>
              <w:pStyle w:val="TableRow"/>
              <w:ind w:left="0"/>
              <w:rPr>
                <w:sz w:val="20"/>
                <w:szCs w:val="20"/>
              </w:rPr>
            </w:pPr>
          </w:p>
          <w:p w14:paraId="5743305C" w14:textId="02FEFFFD" w:rsidR="0079782B" w:rsidRDefault="00276C40" w:rsidP="00276C40">
            <w:pPr>
              <w:pStyle w:val="TableRow"/>
              <w:ind w:left="0"/>
              <w:rPr>
                <w:sz w:val="20"/>
                <w:szCs w:val="20"/>
              </w:rPr>
            </w:pPr>
            <w:r w:rsidRPr="008B58DB">
              <w:rPr>
                <w:sz w:val="20"/>
                <w:szCs w:val="20"/>
              </w:rPr>
              <w:t>Continued access to high quality schemes of work to ensure systematic practice across the school.</w:t>
            </w:r>
          </w:p>
          <w:p w14:paraId="2A7D551A" w14:textId="0C99B600" w:rsidR="00276C40" w:rsidRPr="008B58DB" w:rsidRDefault="0079782B" w:rsidP="0079782B">
            <w:pPr>
              <w:pStyle w:val="TableRow"/>
              <w:ind w:left="0"/>
              <w:rPr>
                <w:sz w:val="20"/>
                <w:szCs w:val="20"/>
              </w:rPr>
            </w:pPr>
            <w:r>
              <w:rPr>
                <w:sz w:val="20"/>
                <w:szCs w:val="20"/>
              </w:rPr>
              <w:t xml:space="preserve">Training for all new staff to ensure that schemes of work are most effective including Little </w:t>
            </w:r>
            <w:proofErr w:type="spellStart"/>
            <w:r>
              <w:rPr>
                <w:sz w:val="20"/>
                <w:szCs w:val="20"/>
              </w:rPr>
              <w:t>Wandle</w:t>
            </w:r>
            <w:proofErr w:type="spellEnd"/>
            <w:r>
              <w:rPr>
                <w:sz w:val="20"/>
                <w:szCs w:val="20"/>
              </w:rPr>
              <w:t xml:space="preserve"> Phonics, Maths No Problem, Read to Write and Steps to Read.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CF19" w14:textId="670F9F05" w:rsidR="00D740C1" w:rsidRPr="008B58DB" w:rsidRDefault="00D740C1" w:rsidP="008B58DB">
            <w:pPr>
              <w:pStyle w:val="TableRowCentered"/>
              <w:jc w:val="left"/>
              <w:rPr>
                <w:sz w:val="20"/>
              </w:rPr>
            </w:pPr>
            <w:r w:rsidRPr="008B58DB">
              <w:rPr>
                <w:sz w:val="20"/>
              </w:rPr>
              <w:t>Traditional teaching keeps time spent on a topic constant and allows pupils’ ‘mastery’ of curriculum content to vary. Mastery learning keeps learning outcomes constant but varies the time needed for pupils to become proficient or competent at these objectives.</w:t>
            </w:r>
          </w:p>
          <w:p w14:paraId="2676DF81" w14:textId="5393D3E3" w:rsidR="00D740C1" w:rsidRPr="008B58DB" w:rsidRDefault="00D740C1" w:rsidP="008B58DB">
            <w:pPr>
              <w:pStyle w:val="TableRowCentered"/>
              <w:jc w:val="left"/>
              <w:rPr>
                <w:sz w:val="20"/>
              </w:rPr>
            </w:pPr>
            <w:r w:rsidRPr="008B58DB">
              <w:rPr>
                <w:sz w:val="20"/>
              </w:rPr>
              <w:t>Mastery learning breaks subject matter and learning content into units with clearly specified objectives, which are pursued until they are achieved. Learners work through each block of content in a series of sequential steps and must demonstrate a high level of success on tests, typically about 80%, before progressing to the next unit. Those who do not reach the required level are provided with additional tuition, peer support, small group discussions, or homework, so that they can reach the expected level.</w:t>
            </w:r>
          </w:p>
          <w:p w14:paraId="55516B64" w14:textId="77777777" w:rsidR="00D740C1" w:rsidRDefault="00D740C1" w:rsidP="00286560">
            <w:pPr>
              <w:pStyle w:val="TableRowCentered"/>
              <w:jc w:val="left"/>
              <w:rPr>
                <w:sz w:val="20"/>
              </w:rPr>
            </w:pPr>
            <w:r>
              <w:rPr>
                <w:sz w:val="20"/>
              </w:rPr>
              <w:t>A</w:t>
            </w:r>
            <w:r w:rsidRPr="008B58DB">
              <w:rPr>
                <w:sz w:val="20"/>
              </w:rPr>
              <w:t xml:space="preserve"> number of meta-analyses </w:t>
            </w:r>
            <w:r>
              <w:rPr>
                <w:sz w:val="20"/>
              </w:rPr>
              <w:t xml:space="preserve">studies </w:t>
            </w:r>
            <w:r w:rsidRPr="008B58DB">
              <w:rPr>
                <w:sz w:val="20"/>
              </w:rPr>
              <w:t>indicate that, on average, mastery learning approaches are effective, leading to an additional five months’ progress</w:t>
            </w:r>
            <w:r>
              <w:rPr>
                <w:sz w:val="20"/>
              </w:rPr>
              <w:t>.</w:t>
            </w:r>
          </w:p>
          <w:p w14:paraId="2A7D551B" w14:textId="1332A3F7" w:rsidR="0079782B" w:rsidRPr="0079782B" w:rsidRDefault="00E422D2" w:rsidP="0079782B">
            <w:pPr>
              <w:pStyle w:val="TableRowCentered"/>
              <w:jc w:val="left"/>
              <w:rPr>
                <w:color w:val="0000FF"/>
                <w:sz w:val="14"/>
                <w:u w:val="single"/>
              </w:rPr>
            </w:pPr>
            <w:hyperlink r:id="rId8" w:history="1">
              <w:r w:rsidR="00B05F8C" w:rsidRPr="00816902">
                <w:rPr>
                  <w:rStyle w:val="Hyperlink"/>
                  <w:sz w:val="14"/>
                </w:rPr>
                <w:t>https://educationendowmentfoundation.org.uk/education-evidence/teaching-learning-toolkit/mastery-learning</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2F7F" w14:textId="77777777" w:rsidR="00D740C1" w:rsidRDefault="00D740C1" w:rsidP="00D740C1">
            <w:pPr>
              <w:pStyle w:val="TableRowCentered"/>
              <w:jc w:val="left"/>
              <w:rPr>
                <w:sz w:val="20"/>
              </w:rPr>
            </w:pPr>
            <w:r>
              <w:rPr>
                <w:sz w:val="20"/>
              </w:rPr>
              <w:t>1</w:t>
            </w:r>
          </w:p>
          <w:p w14:paraId="1169C7E3" w14:textId="77777777" w:rsidR="00D740C1" w:rsidRDefault="00D740C1" w:rsidP="00D740C1">
            <w:pPr>
              <w:pStyle w:val="TableRowCentered"/>
              <w:jc w:val="left"/>
              <w:rPr>
                <w:sz w:val="20"/>
              </w:rPr>
            </w:pPr>
            <w:r>
              <w:rPr>
                <w:sz w:val="20"/>
              </w:rPr>
              <w:t>2</w:t>
            </w:r>
          </w:p>
          <w:p w14:paraId="2A7D551C" w14:textId="187CA9A7" w:rsidR="00D740C1" w:rsidRPr="008B58DB" w:rsidRDefault="00D740C1" w:rsidP="00D740C1">
            <w:pPr>
              <w:pStyle w:val="TableRowCentered"/>
              <w:jc w:val="left"/>
              <w:rPr>
                <w:sz w:val="20"/>
              </w:rPr>
            </w:pPr>
            <w:r>
              <w:rPr>
                <w:sz w:val="20"/>
              </w:rPr>
              <w:t>3</w:t>
            </w:r>
          </w:p>
        </w:tc>
      </w:tr>
      <w:tr w:rsidR="005E2865" w14:paraId="24F98C83" w14:textId="77777777" w:rsidTr="00276C40">
        <w:trPr>
          <w:trHeight w:val="41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8F6F0" w14:textId="28A67F29" w:rsidR="00796C35" w:rsidRDefault="00796C35" w:rsidP="0079782B">
            <w:pPr>
              <w:pStyle w:val="TableRow"/>
              <w:ind w:left="0"/>
              <w:rPr>
                <w:sz w:val="20"/>
                <w:szCs w:val="20"/>
              </w:rPr>
            </w:pPr>
            <w:r>
              <w:rPr>
                <w:sz w:val="20"/>
                <w:szCs w:val="20"/>
              </w:rPr>
              <w:t>To</w:t>
            </w:r>
            <w:r w:rsidR="00FC12F6">
              <w:rPr>
                <w:sz w:val="20"/>
                <w:szCs w:val="20"/>
              </w:rPr>
              <w:t xml:space="preserve"> continue to</w:t>
            </w:r>
            <w:r>
              <w:rPr>
                <w:sz w:val="20"/>
                <w:szCs w:val="20"/>
              </w:rPr>
              <w:t xml:space="preserve"> </w:t>
            </w:r>
            <w:r w:rsidRPr="00796C35">
              <w:rPr>
                <w:sz w:val="20"/>
                <w:szCs w:val="20"/>
              </w:rPr>
              <w:t xml:space="preserve">incorporate the elements of </w:t>
            </w:r>
            <w:r w:rsidR="0079782B">
              <w:rPr>
                <w:sz w:val="20"/>
                <w:szCs w:val="20"/>
              </w:rPr>
              <w:t xml:space="preserve">the </w:t>
            </w:r>
            <w:r>
              <w:rPr>
                <w:sz w:val="20"/>
                <w:szCs w:val="20"/>
              </w:rPr>
              <w:t>Voice 21 Project into classroom.</w:t>
            </w:r>
          </w:p>
          <w:p w14:paraId="6206FD71" w14:textId="77777777" w:rsidR="00796C35" w:rsidRDefault="00796C35" w:rsidP="00796C35">
            <w:pPr>
              <w:pStyle w:val="TableRow"/>
              <w:rPr>
                <w:sz w:val="20"/>
                <w:szCs w:val="20"/>
              </w:rPr>
            </w:pPr>
          </w:p>
          <w:p w14:paraId="4B7F7900" w14:textId="77777777" w:rsidR="005E2865" w:rsidRDefault="00796C35" w:rsidP="0079782B">
            <w:pPr>
              <w:pStyle w:val="TableRow"/>
              <w:ind w:left="0"/>
              <w:rPr>
                <w:sz w:val="20"/>
                <w:szCs w:val="20"/>
              </w:rPr>
            </w:pPr>
            <w:r>
              <w:rPr>
                <w:sz w:val="20"/>
                <w:szCs w:val="20"/>
              </w:rPr>
              <w:t xml:space="preserve">To </w:t>
            </w:r>
            <w:r w:rsidRPr="00796C35">
              <w:rPr>
                <w:sz w:val="20"/>
                <w:szCs w:val="20"/>
              </w:rPr>
              <w:t>pract</w:t>
            </w:r>
            <w:r>
              <w:rPr>
                <w:sz w:val="20"/>
                <w:szCs w:val="20"/>
              </w:rPr>
              <w:t>ice and embed the principles</w:t>
            </w:r>
            <w:r w:rsidR="0047485D">
              <w:rPr>
                <w:sz w:val="20"/>
                <w:szCs w:val="20"/>
              </w:rPr>
              <w:t xml:space="preserve"> of </w:t>
            </w:r>
            <w:proofErr w:type="spellStart"/>
            <w:r w:rsidR="0047485D">
              <w:rPr>
                <w:sz w:val="20"/>
                <w:szCs w:val="20"/>
              </w:rPr>
              <w:t>oracy</w:t>
            </w:r>
            <w:proofErr w:type="spellEnd"/>
            <w:r>
              <w:rPr>
                <w:sz w:val="20"/>
                <w:szCs w:val="20"/>
              </w:rPr>
              <w:t xml:space="preserve"> fro</w:t>
            </w:r>
            <w:r w:rsidRPr="00796C35">
              <w:rPr>
                <w:sz w:val="20"/>
                <w:szCs w:val="20"/>
              </w:rPr>
              <w:t>m EYFS – Y6.</w:t>
            </w:r>
          </w:p>
          <w:p w14:paraId="188585A8" w14:textId="77777777" w:rsidR="0079782B" w:rsidRDefault="0079782B" w:rsidP="0079782B">
            <w:pPr>
              <w:pStyle w:val="TableRow"/>
              <w:ind w:left="0"/>
              <w:rPr>
                <w:sz w:val="20"/>
                <w:szCs w:val="20"/>
              </w:rPr>
            </w:pPr>
          </w:p>
          <w:p w14:paraId="6C7AE316" w14:textId="30337154" w:rsidR="0079782B" w:rsidRDefault="0079782B" w:rsidP="0079782B">
            <w:pPr>
              <w:pStyle w:val="TableRow"/>
              <w:ind w:left="0"/>
              <w:rPr>
                <w:sz w:val="20"/>
                <w:szCs w:val="20"/>
              </w:rPr>
            </w:pPr>
            <w:r>
              <w:rPr>
                <w:sz w:val="20"/>
                <w:szCs w:val="20"/>
              </w:rPr>
              <w:t xml:space="preserve">To </w:t>
            </w:r>
            <w:r w:rsidR="00FC12F6">
              <w:rPr>
                <w:sz w:val="20"/>
                <w:szCs w:val="20"/>
              </w:rPr>
              <w:t>continue to celebrate</w:t>
            </w:r>
            <w:r>
              <w:rPr>
                <w:sz w:val="20"/>
                <w:szCs w:val="20"/>
              </w:rPr>
              <w:t xml:space="preserve"> </w:t>
            </w:r>
            <w:proofErr w:type="spellStart"/>
            <w:r>
              <w:rPr>
                <w:sz w:val="20"/>
                <w:szCs w:val="20"/>
              </w:rPr>
              <w:t>oracy</w:t>
            </w:r>
            <w:proofErr w:type="spellEnd"/>
            <w:r>
              <w:rPr>
                <w:sz w:val="20"/>
                <w:szCs w:val="20"/>
              </w:rPr>
              <w:t xml:space="preserve"> champions in each class and ensure </w:t>
            </w:r>
            <w:proofErr w:type="spellStart"/>
            <w:r>
              <w:rPr>
                <w:sz w:val="20"/>
                <w:szCs w:val="20"/>
              </w:rPr>
              <w:t>oracy</w:t>
            </w:r>
            <w:proofErr w:type="spellEnd"/>
            <w:r>
              <w:rPr>
                <w:sz w:val="20"/>
                <w:szCs w:val="20"/>
              </w:rPr>
              <w:t xml:space="preserve"> is a golden thread running throughout the school.</w:t>
            </w:r>
          </w:p>
          <w:p w14:paraId="43EEDA1A" w14:textId="77777777" w:rsidR="0079782B" w:rsidRDefault="0079782B" w:rsidP="0079782B">
            <w:pPr>
              <w:pStyle w:val="TableRow"/>
              <w:ind w:left="0"/>
              <w:rPr>
                <w:sz w:val="20"/>
                <w:szCs w:val="20"/>
              </w:rPr>
            </w:pPr>
          </w:p>
          <w:p w14:paraId="10A0091E" w14:textId="4D5802F1" w:rsidR="0079782B" w:rsidRPr="008B58DB" w:rsidRDefault="0079782B" w:rsidP="0079782B">
            <w:pPr>
              <w:pStyle w:val="TableRow"/>
              <w:ind w:left="0"/>
              <w:rPr>
                <w:sz w:val="20"/>
                <w:szCs w:val="20"/>
              </w:rPr>
            </w:pPr>
            <w:r>
              <w:rPr>
                <w:sz w:val="20"/>
                <w:szCs w:val="20"/>
              </w:rPr>
              <w:t xml:space="preserve">To take part in </w:t>
            </w:r>
            <w:proofErr w:type="spellStart"/>
            <w:r>
              <w:rPr>
                <w:sz w:val="20"/>
                <w:szCs w:val="20"/>
              </w:rPr>
              <w:t>oracy</w:t>
            </w:r>
            <w:proofErr w:type="spellEnd"/>
            <w:r>
              <w:rPr>
                <w:sz w:val="20"/>
                <w:szCs w:val="20"/>
              </w:rPr>
              <w:t xml:space="preserve"> events in partnership with other Voice 21 project schools.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EB59D" w14:textId="6A4BD977" w:rsidR="00796C35" w:rsidRDefault="00796C35" w:rsidP="005E2865">
            <w:pPr>
              <w:pStyle w:val="TableRowCentered"/>
              <w:jc w:val="left"/>
              <w:rPr>
                <w:sz w:val="20"/>
              </w:rPr>
            </w:pPr>
            <w:r w:rsidRPr="00796C35">
              <w:rPr>
                <w:sz w:val="20"/>
              </w:rPr>
              <w:t xml:space="preserve">Oral language interventions </w:t>
            </w:r>
            <w:r>
              <w:rPr>
                <w:sz w:val="20"/>
              </w:rPr>
              <w:t>(</w:t>
            </w:r>
            <w:r w:rsidRPr="00796C35">
              <w:rPr>
                <w:sz w:val="20"/>
              </w:rPr>
              <w:t xml:space="preserve">also known as </w:t>
            </w:r>
            <w:proofErr w:type="spellStart"/>
            <w:r w:rsidRPr="00796C35">
              <w:rPr>
                <w:sz w:val="20"/>
              </w:rPr>
              <w:t>oracy</w:t>
            </w:r>
            <w:proofErr w:type="spellEnd"/>
            <w:r>
              <w:rPr>
                <w:sz w:val="20"/>
              </w:rPr>
              <w:t xml:space="preserve">) </w:t>
            </w:r>
            <w:r w:rsidRPr="00796C35">
              <w:rPr>
                <w:sz w:val="20"/>
              </w:rPr>
              <w:t>are based on the idea that comprehension and reading skills benefit from explicit discussion of either content or processes of learning, or both, oral language interventions aim to support learners’ use of vocabulary, articulation of ideas and spoken expression.</w:t>
            </w:r>
          </w:p>
          <w:p w14:paraId="76D3E7A4" w14:textId="505AEB4A" w:rsidR="00796C35" w:rsidRPr="00796C35" w:rsidRDefault="00796C35" w:rsidP="00796C35">
            <w:pPr>
              <w:pStyle w:val="TableRowCentered"/>
              <w:jc w:val="left"/>
              <w:rPr>
                <w:sz w:val="20"/>
              </w:rPr>
            </w:pPr>
            <w:r w:rsidRPr="00796C35">
              <w:rPr>
                <w:sz w:val="20"/>
              </w:rPr>
              <w:t>Oral language approaches might include:</w:t>
            </w:r>
          </w:p>
          <w:p w14:paraId="10CA4FEC" w14:textId="2EADC744" w:rsidR="00796C35" w:rsidRDefault="00796C35" w:rsidP="00796C35">
            <w:pPr>
              <w:pStyle w:val="TableRowCentered"/>
              <w:numPr>
                <w:ilvl w:val="0"/>
                <w:numId w:val="17"/>
              </w:numPr>
              <w:jc w:val="left"/>
              <w:rPr>
                <w:sz w:val="20"/>
              </w:rPr>
            </w:pPr>
            <w:r>
              <w:rPr>
                <w:sz w:val="20"/>
              </w:rPr>
              <w:t>T</w:t>
            </w:r>
            <w:r w:rsidRPr="00796C35">
              <w:rPr>
                <w:sz w:val="20"/>
              </w:rPr>
              <w:t xml:space="preserve">argeted reading aloud and book discussion with </w:t>
            </w:r>
            <w:r>
              <w:rPr>
                <w:sz w:val="20"/>
              </w:rPr>
              <w:t>young children.</w:t>
            </w:r>
          </w:p>
          <w:p w14:paraId="20300840" w14:textId="744E48F3" w:rsidR="00796C35" w:rsidRDefault="00796C35" w:rsidP="00796C35">
            <w:pPr>
              <w:pStyle w:val="TableRowCentered"/>
              <w:numPr>
                <w:ilvl w:val="0"/>
                <w:numId w:val="17"/>
              </w:numPr>
              <w:jc w:val="left"/>
              <w:rPr>
                <w:sz w:val="20"/>
              </w:rPr>
            </w:pPr>
            <w:r>
              <w:rPr>
                <w:sz w:val="20"/>
              </w:rPr>
              <w:t>E</w:t>
            </w:r>
            <w:r w:rsidRPr="00796C35">
              <w:rPr>
                <w:sz w:val="20"/>
              </w:rPr>
              <w:t>xplicitly exte</w:t>
            </w:r>
            <w:r>
              <w:rPr>
                <w:sz w:val="20"/>
              </w:rPr>
              <w:t>nding pupils’ spoken vocabulary.</w:t>
            </w:r>
          </w:p>
          <w:p w14:paraId="03258D7C" w14:textId="6DDA7CF9" w:rsidR="00796C35" w:rsidRDefault="00796C35" w:rsidP="00796C35">
            <w:pPr>
              <w:pStyle w:val="TableRowCentered"/>
              <w:numPr>
                <w:ilvl w:val="0"/>
                <w:numId w:val="17"/>
              </w:numPr>
              <w:jc w:val="left"/>
              <w:rPr>
                <w:sz w:val="20"/>
              </w:rPr>
            </w:pPr>
            <w:r>
              <w:rPr>
                <w:sz w:val="20"/>
              </w:rPr>
              <w:t>T</w:t>
            </w:r>
            <w:r w:rsidRPr="00796C35">
              <w:rPr>
                <w:sz w:val="20"/>
              </w:rPr>
              <w:t xml:space="preserve">he use of structured questioning to </w:t>
            </w:r>
            <w:r>
              <w:rPr>
                <w:sz w:val="20"/>
              </w:rPr>
              <w:t>develop reading comprehension.</w:t>
            </w:r>
          </w:p>
          <w:p w14:paraId="44245A18" w14:textId="1476AE8A" w:rsidR="00796C35" w:rsidRDefault="00796C35" w:rsidP="00796C35">
            <w:pPr>
              <w:pStyle w:val="TableRowCentered"/>
              <w:numPr>
                <w:ilvl w:val="0"/>
                <w:numId w:val="17"/>
              </w:numPr>
              <w:jc w:val="left"/>
              <w:rPr>
                <w:sz w:val="20"/>
              </w:rPr>
            </w:pPr>
            <w:r>
              <w:rPr>
                <w:sz w:val="20"/>
              </w:rPr>
              <w:t>T</w:t>
            </w:r>
            <w:r w:rsidRPr="00796C35">
              <w:rPr>
                <w:sz w:val="20"/>
              </w:rPr>
              <w:t>he use of purposeful, curriculum-focused, dialogue and interaction.</w:t>
            </w:r>
          </w:p>
          <w:p w14:paraId="2812A625" w14:textId="2F133F69" w:rsidR="00796C35" w:rsidRPr="00796C35" w:rsidRDefault="00796C35" w:rsidP="00796C35">
            <w:pPr>
              <w:pStyle w:val="TableRowCentered"/>
              <w:jc w:val="left"/>
              <w:rPr>
                <w:sz w:val="20"/>
              </w:rPr>
            </w:pPr>
            <w:r>
              <w:rPr>
                <w:sz w:val="20"/>
              </w:rPr>
              <w:t>Research has found that o</w:t>
            </w:r>
            <w:r w:rsidRPr="00796C35">
              <w:rPr>
                <w:sz w:val="20"/>
              </w:rPr>
              <w:t xml:space="preserve">n average, </w:t>
            </w:r>
            <w:r>
              <w:rPr>
                <w:sz w:val="20"/>
              </w:rPr>
              <w:t xml:space="preserve">oral language approaches have an </w:t>
            </w:r>
            <w:r w:rsidRPr="00796C35">
              <w:rPr>
                <w:sz w:val="20"/>
              </w:rPr>
              <w:t>impact of</w:t>
            </w:r>
            <w:r>
              <w:rPr>
                <w:sz w:val="20"/>
              </w:rPr>
              <w:t xml:space="preserve"> 6 months’ additional progress. Studies also suggest that it is important for spoken language activities to be</w:t>
            </w:r>
            <w:r w:rsidRPr="00796C35">
              <w:rPr>
                <w:sz w:val="20"/>
              </w:rPr>
              <w:t xml:space="preserve"> matched to learners’ current stage of development, so that it extends their learning and connects with the curriculum.</w:t>
            </w:r>
          </w:p>
          <w:p w14:paraId="27AB5F64" w14:textId="197B364C" w:rsidR="005E2865" w:rsidRDefault="00E422D2" w:rsidP="005E2865">
            <w:pPr>
              <w:pStyle w:val="TableRowCentered"/>
              <w:jc w:val="left"/>
              <w:rPr>
                <w:sz w:val="16"/>
              </w:rPr>
            </w:pPr>
            <w:hyperlink r:id="rId9" w:history="1">
              <w:r w:rsidR="005E2865" w:rsidRPr="005E2865">
                <w:rPr>
                  <w:rStyle w:val="Hyperlink"/>
                  <w:sz w:val="16"/>
                </w:rPr>
                <w:t>https://voice21.org/oracy/</w:t>
              </w:r>
            </w:hyperlink>
          </w:p>
          <w:p w14:paraId="668A6FA8" w14:textId="3B39F52D" w:rsidR="005E2865" w:rsidRPr="00796C35" w:rsidRDefault="00E422D2" w:rsidP="00796C35">
            <w:pPr>
              <w:pStyle w:val="TableRowCentered"/>
              <w:jc w:val="left"/>
              <w:rPr>
                <w:sz w:val="16"/>
              </w:rPr>
            </w:pPr>
            <w:hyperlink r:id="rId10" w:history="1">
              <w:r w:rsidR="00796C35" w:rsidRPr="00816902">
                <w:rPr>
                  <w:rStyle w:val="Hyperlink"/>
                  <w:sz w:val="16"/>
                </w:rPr>
                <w:t>https://educationendowmentfoundation.org.uk/education-evidence/teaching-learning-toolkit/oral-language-interventions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D1308" w14:textId="77777777" w:rsidR="005E2865" w:rsidRDefault="00796C35" w:rsidP="00D740C1">
            <w:pPr>
              <w:pStyle w:val="TableRowCentered"/>
              <w:jc w:val="left"/>
              <w:rPr>
                <w:sz w:val="20"/>
              </w:rPr>
            </w:pPr>
            <w:r>
              <w:rPr>
                <w:sz w:val="20"/>
              </w:rPr>
              <w:t>1</w:t>
            </w:r>
          </w:p>
          <w:p w14:paraId="67EA5CDE" w14:textId="3DDAFCB2" w:rsidR="00796C35" w:rsidRDefault="00796C35" w:rsidP="00D740C1">
            <w:pPr>
              <w:pStyle w:val="TableRowCentered"/>
              <w:jc w:val="left"/>
              <w:rPr>
                <w:sz w:val="20"/>
              </w:rPr>
            </w:pPr>
            <w:r>
              <w:rPr>
                <w:sz w:val="20"/>
              </w:rPr>
              <w:t>2</w:t>
            </w:r>
          </w:p>
        </w:tc>
      </w:tr>
    </w:tbl>
    <w:p w14:paraId="5D019F31" w14:textId="30837DC7" w:rsidR="009E4159" w:rsidRDefault="009E4159">
      <w:pPr>
        <w:rPr>
          <w:b/>
          <w:bCs/>
          <w:color w:val="104F75"/>
          <w:sz w:val="28"/>
          <w:szCs w:val="28"/>
        </w:rPr>
      </w:pPr>
    </w:p>
    <w:p w14:paraId="2A7D5523" w14:textId="1D478D3A" w:rsidR="00E66558" w:rsidRDefault="009E4159">
      <w:pPr>
        <w:rPr>
          <w:b/>
          <w:bCs/>
          <w:color w:val="104F75"/>
          <w:sz w:val="28"/>
          <w:szCs w:val="28"/>
        </w:rPr>
      </w:pPr>
      <w:r>
        <w:rPr>
          <w:b/>
          <w:bCs/>
          <w:color w:val="104F75"/>
          <w:sz w:val="28"/>
          <w:szCs w:val="28"/>
        </w:rPr>
        <w:t>Targeted academic support</w:t>
      </w:r>
      <w:r w:rsidR="009D71E8">
        <w:rPr>
          <w:b/>
          <w:bCs/>
          <w:color w:val="104F75"/>
          <w:sz w:val="28"/>
          <w:szCs w:val="28"/>
        </w:rPr>
        <w:t xml:space="preserve"> </w:t>
      </w:r>
    </w:p>
    <w:p w14:paraId="2A7D5524" w14:textId="0105C134" w:rsidR="00E66558" w:rsidRPr="00983B87" w:rsidRDefault="00C70E6C">
      <w:pPr>
        <w:rPr>
          <w:color w:val="auto"/>
        </w:rPr>
      </w:pPr>
      <w:r>
        <w:t>Budgete</w:t>
      </w:r>
      <w:r w:rsidRPr="00983B87">
        <w:rPr>
          <w:color w:val="auto"/>
        </w:rPr>
        <w:t>d cost: £</w:t>
      </w:r>
      <w:r w:rsidR="004D10DB" w:rsidRPr="00983B87">
        <w:rPr>
          <w:color w:val="auto"/>
        </w:rPr>
        <w:t>115,566</w:t>
      </w:r>
    </w:p>
    <w:tbl>
      <w:tblPr>
        <w:tblW w:w="5000" w:type="pct"/>
        <w:tblCellMar>
          <w:left w:w="10" w:type="dxa"/>
          <w:right w:w="10" w:type="dxa"/>
        </w:tblCellMar>
        <w:tblLook w:val="04A0" w:firstRow="1" w:lastRow="0" w:firstColumn="1" w:lastColumn="0" w:noHBand="0" w:noVBand="1"/>
      </w:tblPr>
      <w:tblGrid>
        <w:gridCol w:w="2263"/>
        <w:gridCol w:w="5670"/>
        <w:gridCol w:w="1553"/>
      </w:tblGrid>
      <w:tr w:rsidR="00E66558" w14:paraId="2A7D5528"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1D0A" w14:textId="212FA14B" w:rsidR="00286560" w:rsidRPr="00286560" w:rsidRDefault="00286560" w:rsidP="00FC12F6">
            <w:pPr>
              <w:pStyle w:val="TableRow"/>
              <w:rPr>
                <w:sz w:val="20"/>
                <w:szCs w:val="20"/>
              </w:rPr>
            </w:pPr>
            <w:r w:rsidRPr="00286560">
              <w:rPr>
                <w:sz w:val="20"/>
                <w:szCs w:val="20"/>
              </w:rPr>
              <w:t>Structured 1:1 or small group interventions to decrease th</w:t>
            </w:r>
            <w:r w:rsidR="00FC12F6">
              <w:rPr>
                <w:sz w:val="20"/>
                <w:szCs w:val="20"/>
              </w:rPr>
              <w:t xml:space="preserve">e gap in attainment between PP </w:t>
            </w:r>
            <w:r w:rsidRPr="00286560">
              <w:rPr>
                <w:sz w:val="20"/>
                <w:szCs w:val="20"/>
              </w:rPr>
              <w:t xml:space="preserve">and non-PP pupils </w:t>
            </w:r>
            <w:r w:rsidR="00FC12F6">
              <w:rPr>
                <w:sz w:val="20"/>
                <w:szCs w:val="20"/>
              </w:rPr>
              <w:t>in</w:t>
            </w:r>
            <w:r w:rsidRPr="00286560">
              <w:rPr>
                <w:sz w:val="20"/>
                <w:szCs w:val="20"/>
              </w:rPr>
              <w:t xml:space="preserve"> reading in EYFS, KS1 and </w:t>
            </w:r>
          </w:p>
          <w:p w14:paraId="2A7D5529" w14:textId="335ADD74" w:rsidR="00E66558" w:rsidRPr="00286560" w:rsidRDefault="00286560" w:rsidP="00286560">
            <w:pPr>
              <w:pStyle w:val="TableRow"/>
              <w:rPr>
                <w:sz w:val="20"/>
                <w:szCs w:val="20"/>
              </w:rPr>
            </w:pPr>
            <w:r w:rsidRPr="00286560">
              <w:rPr>
                <w:sz w:val="20"/>
                <w:szCs w:val="20"/>
              </w:rPr>
              <w:t>KS2.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A1CE1" w14:textId="3014ACC3" w:rsidR="00286560" w:rsidRPr="00286560" w:rsidRDefault="00286560" w:rsidP="00286560">
            <w:pPr>
              <w:pStyle w:val="TableRowCentered"/>
              <w:jc w:val="left"/>
              <w:rPr>
                <w:sz w:val="20"/>
              </w:rPr>
            </w:pPr>
            <w:r w:rsidRPr="00286560">
              <w:rPr>
                <w:sz w:val="20"/>
              </w:rPr>
              <w:t xml:space="preserve">One to one tuition involves a teacher, teaching assistant or other adult giving a pupil intensive individual support. It may happen outside of normal lessons as additional teaching – for example as part of </w:t>
            </w:r>
            <w:r>
              <w:rPr>
                <w:sz w:val="20"/>
              </w:rPr>
              <w:t>e</w:t>
            </w:r>
            <w:r w:rsidRPr="00286560">
              <w:rPr>
                <w:sz w:val="20"/>
              </w:rPr>
              <w:t xml:space="preserve">xtending school time or a Summer school – or as a replacement for other lessons. </w:t>
            </w:r>
          </w:p>
          <w:p w14:paraId="56277313" w14:textId="2EC4FBC1" w:rsidR="00286560" w:rsidRPr="00286560" w:rsidRDefault="00286560" w:rsidP="00286560">
            <w:pPr>
              <w:pStyle w:val="TableRowCentered"/>
              <w:jc w:val="left"/>
              <w:rPr>
                <w:sz w:val="20"/>
              </w:rPr>
            </w:pPr>
            <w:r w:rsidRPr="00286560">
              <w:rPr>
                <w:sz w:val="20"/>
              </w:rPr>
              <w:t xml:space="preserve">Evidence indicates that one to one tuition can be effective, delivering approximately five additional months’ progress on average. Short, regular sessions (about 30 minutes, three to five times a week) over a set period of time (six to twelve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w:t>
            </w:r>
          </w:p>
          <w:p w14:paraId="2A7D552A" w14:textId="5C164913" w:rsidR="00286560" w:rsidRPr="00286560" w:rsidRDefault="00286560" w:rsidP="00286560">
            <w:pPr>
              <w:pStyle w:val="TableRowCentered"/>
              <w:jc w:val="left"/>
              <w:rPr>
                <w:sz w:val="20"/>
              </w:rPr>
            </w:pPr>
            <w:r w:rsidRPr="00286560">
              <w:rPr>
                <w:sz w:val="20"/>
              </w:rPr>
              <w:t>In some cases, one to one tuition has led to greater improvement, while in others tuition in groups of two or three has been equally or even more effective. The variability in findings may suggest it is the particular type or quality of teaching enabled by very small groups that is important, rather than the precise size of the group.</w:t>
            </w:r>
            <w:r>
              <w:rPr>
                <w:sz w:val="20"/>
              </w:rPr>
              <w:t xml:space="preserve"> </w:t>
            </w:r>
            <w:hyperlink r:id="rId11" w:history="1">
              <w:r w:rsidRPr="00286560">
                <w:rPr>
                  <w:rStyle w:val="Hyperlink"/>
                  <w:sz w:val="16"/>
                </w:rPr>
                <w:t>https://educationendowmentfoundation.org.uk/education-evidence/teaching-learning-toolkit/one-to-one-tuition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B95C" w14:textId="77777777" w:rsidR="00E66558" w:rsidRDefault="00D740C1">
            <w:pPr>
              <w:pStyle w:val="TableRowCentered"/>
              <w:jc w:val="left"/>
              <w:rPr>
                <w:sz w:val="20"/>
              </w:rPr>
            </w:pPr>
            <w:r>
              <w:rPr>
                <w:sz w:val="20"/>
              </w:rPr>
              <w:t>1</w:t>
            </w:r>
          </w:p>
          <w:p w14:paraId="35A6B407" w14:textId="77777777" w:rsidR="00D740C1" w:rsidRDefault="00D740C1">
            <w:pPr>
              <w:pStyle w:val="TableRowCentered"/>
              <w:jc w:val="left"/>
              <w:rPr>
                <w:sz w:val="20"/>
              </w:rPr>
            </w:pPr>
            <w:r>
              <w:rPr>
                <w:sz w:val="20"/>
              </w:rPr>
              <w:t>2</w:t>
            </w:r>
          </w:p>
          <w:p w14:paraId="2A7D552B" w14:textId="0414F490" w:rsidR="00D740C1" w:rsidRPr="00286560" w:rsidRDefault="00D740C1">
            <w:pPr>
              <w:pStyle w:val="TableRowCentered"/>
              <w:jc w:val="left"/>
              <w:rPr>
                <w:sz w:val="20"/>
              </w:rPr>
            </w:pPr>
            <w:r>
              <w:rPr>
                <w:sz w:val="20"/>
              </w:rPr>
              <w:t>3</w:t>
            </w:r>
          </w:p>
        </w:tc>
      </w:tr>
      <w:tr w:rsidR="00E66558" w14:paraId="2A7D5530"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6687A23" w:rsidR="00E66558" w:rsidRDefault="00286560" w:rsidP="00FC12F6">
            <w:pPr>
              <w:pStyle w:val="TableRow"/>
              <w:rPr>
                <w:i/>
                <w:sz w:val="22"/>
              </w:rPr>
            </w:pPr>
            <w:r w:rsidRPr="00286560">
              <w:rPr>
                <w:sz w:val="20"/>
              </w:rPr>
              <w:t xml:space="preserve">Small group tuition: </w:t>
            </w:r>
            <w:r>
              <w:rPr>
                <w:sz w:val="20"/>
              </w:rPr>
              <w:t xml:space="preserve">that focuses on </w:t>
            </w:r>
            <w:r w:rsidR="00FC12F6">
              <w:rPr>
                <w:sz w:val="20"/>
              </w:rPr>
              <w:t>m</w:t>
            </w:r>
            <w:r>
              <w:rPr>
                <w:sz w:val="20"/>
              </w:rPr>
              <w:t>aths</w:t>
            </w:r>
            <w:r w:rsidRPr="00286560">
              <w:rPr>
                <w:sz w:val="20"/>
              </w:rPr>
              <w:t xml:space="preserve"> for pupils who are below age-related expectations. To decrease the gap in attainment between PP and non-PP pupils in </w:t>
            </w:r>
            <w:r w:rsidR="00FC12F6">
              <w:rPr>
                <w:sz w:val="20"/>
              </w:rPr>
              <w:t>maths</w:t>
            </w:r>
            <w:r w:rsidRPr="00286560">
              <w:rPr>
                <w:sz w:val="20"/>
              </w:rPr>
              <w:t xml:space="preserve"> in EYFS, KS1 and KS2.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4119050" w:rsidR="00377FF2" w:rsidRPr="00377FF2" w:rsidRDefault="00377FF2" w:rsidP="00377FF2">
            <w:pPr>
              <w:pStyle w:val="TableRowCentered"/>
              <w:jc w:val="left"/>
              <w:rPr>
                <w:sz w:val="20"/>
              </w:rPr>
            </w:pPr>
            <w:r w:rsidRPr="00377FF2">
              <w:rPr>
                <w:sz w:val="20"/>
              </w:rPr>
              <w:t xml:space="preserve">Small group tuition is defined as one teacher or professional educator working with </w:t>
            </w:r>
            <w:r>
              <w:rPr>
                <w:sz w:val="20"/>
              </w:rPr>
              <w:t xml:space="preserve">several </w:t>
            </w:r>
            <w:r w:rsidRPr="00377FF2">
              <w:rPr>
                <w:sz w:val="20"/>
              </w:rPr>
              <w:t>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w:t>
            </w:r>
            <w:r>
              <w:rPr>
                <w:sz w:val="20"/>
              </w:rPr>
              <w:t>h challenging topics or skills. E</w:t>
            </w:r>
            <w:r w:rsidRPr="00377FF2">
              <w:rPr>
                <w:sz w:val="20"/>
              </w:rPr>
              <w:t xml:space="preserve">vidence shows that small group tuition is effective and, as a rule of thumb, the smaller the group the better. Some studies suggest that greater feedback from the teacher, more sustained </w:t>
            </w:r>
            <w:r>
              <w:rPr>
                <w:sz w:val="20"/>
              </w:rPr>
              <w:t>e</w:t>
            </w:r>
            <w:r w:rsidRPr="00377FF2">
              <w:rPr>
                <w:sz w:val="20"/>
              </w:rPr>
              <w:t xml:space="preserve">ngagement in smaller groups, or work which is more closely matched to learners’ needs explains this impact. </w:t>
            </w:r>
            <w:hyperlink r:id="rId12" w:history="1">
              <w:r w:rsidRPr="00377FF2">
                <w:rPr>
                  <w:rStyle w:val="Hyperlink"/>
                  <w:sz w:val="16"/>
                </w:rPr>
                <w:t>https://educationendowmentfoundation.org.uk/education-evidence/teaching-learning-toolkit/small-group-tuition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ADD1" w14:textId="77777777" w:rsidR="00E66558" w:rsidRDefault="00D740C1" w:rsidP="00377FF2">
            <w:pPr>
              <w:pStyle w:val="TableRowCentered"/>
              <w:jc w:val="left"/>
              <w:rPr>
                <w:sz w:val="20"/>
              </w:rPr>
            </w:pPr>
            <w:r>
              <w:rPr>
                <w:sz w:val="20"/>
              </w:rPr>
              <w:t>1</w:t>
            </w:r>
          </w:p>
          <w:p w14:paraId="3033EC85" w14:textId="77777777" w:rsidR="00D740C1" w:rsidRDefault="00D740C1" w:rsidP="00377FF2">
            <w:pPr>
              <w:pStyle w:val="TableRowCentered"/>
              <w:jc w:val="left"/>
              <w:rPr>
                <w:sz w:val="20"/>
              </w:rPr>
            </w:pPr>
            <w:r>
              <w:rPr>
                <w:sz w:val="20"/>
              </w:rPr>
              <w:t>2</w:t>
            </w:r>
          </w:p>
          <w:p w14:paraId="2A7D552F" w14:textId="05CBD231" w:rsidR="00D740C1" w:rsidRPr="00377FF2" w:rsidRDefault="00D740C1" w:rsidP="00377FF2">
            <w:pPr>
              <w:pStyle w:val="TableRowCentered"/>
              <w:jc w:val="left"/>
              <w:rPr>
                <w:sz w:val="20"/>
              </w:rPr>
            </w:pPr>
            <w:r>
              <w:rPr>
                <w:sz w:val="20"/>
              </w:rPr>
              <w:t>3</w:t>
            </w:r>
          </w:p>
        </w:tc>
      </w:tr>
      <w:tr w:rsidR="00C70E6C" w14:paraId="2D1DF25E"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C96C" w14:textId="53FDF498" w:rsidR="00C70E6C" w:rsidRPr="00286560" w:rsidRDefault="00C70E6C" w:rsidP="00C70E6C">
            <w:pPr>
              <w:pStyle w:val="TableRow"/>
              <w:rPr>
                <w:sz w:val="20"/>
              </w:rPr>
            </w:pPr>
            <w:r w:rsidRPr="00C70E6C">
              <w:rPr>
                <w:sz w:val="20"/>
              </w:rPr>
              <w:t>Creating additional teaching and l</w:t>
            </w:r>
            <w:r>
              <w:rPr>
                <w:sz w:val="20"/>
              </w:rPr>
              <w:t>earning opportunities using TAs t</w:t>
            </w:r>
            <w:r w:rsidRPr="00C70E6C">
              <w:rPr>
                <w:sz w:val="20"/>
              </w:rPr>
              <w:t>o decrease the attainment gap in Phonics between PP and non PP pupils.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039DA" w14:textId="12A1F502" w:rsidR="00C70E6C" w:rsidRDefault="00C70E6C" w:rsidP="00C70E6C">
            <w:pPr>
              <w:pStyle w:val="TableRowCentered"/>
              <w:jc w:val="left"/>
              <w:rPr>
                <w:sz w:val="20"/>
              </w:rPr>
            </w:pPr>
            <w:r w:rsidRPr="00C70E6C">
              <w:rPr>
                <w:sz w:val="20"/>
              </w:rPr>
              <w:t>Phonics is an approach to teaching reading, and some aspects of writing, by developing learners’ phonemic awareness. This involves</w:t>
            </w:r>
            <w:r>
              <w:rPr>
                <w:sz w:val="20"/>
              </w:rPr>
              <w:t xml:space="preserve"> </w:t>
            </w:r>
            <w:r w:rsidRPr="00C70E6C">
              <w:rPr>
                <w:sz w:val="20"/>
              </w:rPr>
              <w:t>the skills of hearing, identifying and using phonemes or sound patterns in English. The aim is to systematically teach learners the relationship between these sounds and the written spelling patterns, or graphemes, which represent them. Phonics emphasises the skills of decoding new words by sounding them out and combining or ‘blending’ the sound-spelling patterns.</w:t>
            </w:r>
          </w:p>
          <w:p w14:paraId="7FA53905" w14:textId="71320329" w:rsidR="00C70E6C" w:rsidRDefault="00C70E6C" w:rsidP="00C70E6C">
            <w:pPr>
              <w:pStyle w:val="TableRowCentered"/>
              <w:jc w:val="left"/>
              <w:rPr>
                <w:sz w:val="20"/>
              </w:rPr>
            </w:pPr>
            <w:r w:rsidRPr="00C70E6C">
              <w:rPr>
                <w:sz w:val="20"/>
              </w:rPr>
              <w:t>Phonics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 Teach</w:t>
            </w:r>
            <w:r>
              <w:rPr>
                <w:sz w:val="20"/>
              </w:rPr>
              <w:t>ing phonics is more effective</w:t>
            </w:r>
            <w:r w:rsidRPr="00C70E6C">
              <w:rPr>
                <w:sz w:val="20"/>
              </w:rPr>
              <w:t xml:space="preserve"> than other approaches to early reading </w:t>
            </w:r>
            <w:r>
              <w:rPr>
                <w:sz w:val="20"/>
              </w:rPr>
              <w:t>and</w:t>
            </w:r>
            <w:r w:rsidRPr="00C70E6C">
              <w:rPr>
                <w:sz w:val="20"/>
              </w:rPr>
              <w:t xml:space="preserve"> should be embedded in a rich literac</w:t>
            </w:r>
            <w:r>
              <w:rPr>
                <w:sz w:val="20"/>
              </w:rPr>
              <w:t>y environment for early readers.</w:t>
            </w:r>
          </w:p>
          <w:p w14:paraId="26D3E95C" w14:textId="31567217" w:rsidR="00C70E6C" w:rsidRPr="00377FF2" w:rsidRDefault="00E422D2" w:rsidP="00C70E6C">
            <w:pPr>
              <w:pStyle w:val="TableRowCentered"/>
              <w:jc w:val="left"/>
              <w:rPr>
                <w:sz w:val="20"/>
              </w:rPr>
            </w:pPr>
            <w:hyperlink r:id="rId13" w:history="1">
              <w:r w:rsidR="00C70E6C" w:rsidRPr="00C70E6C">
                <w:rPr>
                  <w:rStyle w:val="Hyperlink"/>
                  <w:sz w:val="16"/>
                </w:rPr>
                <w:t>https://educationendowmentfoundation.org.uk/education-evidence/teaching-learning-toolkit/phonics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4EDA" w14:textId="77777777" w:rsidR="00C70E6C" w:rsidRDefault="00D740C1" w:rsidP="00377FF2">
            <w:pPr>
              <w:pStyle w:val="TableRowCentered"/>
              <w:jc w:val="left"/>
              <w:rPr>
                <w:sz w:val="20"/>
              </w:rPr>
            </w:pPr>
            <w:r>
              <w:rPr>
                <w:sz w:val="20"/>
              </w:rPr>
              <w:t>1</w:t>
            </w:r>
          </w:p>
          <w:p w14:paraId="6CA24D0F" w14:textId="77777777" w:rsidR="00D740C1" w:rsidRDefault="00D740C1" w:rsidP="00377FF2">
            <w:pPr>
              <w:pStyle w:val="TableRowCentered"/>
              <w:jc w:val="left"/>
              <w:rPr>
                <w:sz w:val="20"/>
              </w:rPr>
            </w:pPr>
            <w:r>
              <w:rPr>
                <w:sz w:val="20"/>
              </w:rPr>
              <w:t>2</w:t>
            </w:r>
          </w:p>
          <w:p w14:paraId="2AAC3FF2" w14:textId="33394297" w:rsidR="00D740C1" w:rsidRPr="00377FF2" w:rsidRDefault="00D740C1" w:rsidP="00377FF2">
            <w:pPr>
              <w:pStyle w:val="TableRowCentered"/>
              <w:jc w:val="left"/>
              <w:rPr>
                <w:sz w:val="20"/>
              </w:rPr>
            </w:pPr>
            <w:r>
              <w:rPr>
                <w:sz w:val="20"/>
              </w:rPr>
              <w:t>3</w:t>
            </w:r>
          </w:p>
        </w:tc>
      </w:tr>
    </w:tbl>
    <w:p w14:paraId="2A7D5531" w14:textId="77777777" w:rsidR="00E66558" w:rsidRDefault="00E66558">
      <w:pPr>
        <w:spacing w:after="0"/>
        <w:rPr>
          <w:b/>
          <w:color w:val="104F75"/>
          <w:sz w:val="28"/>
          <w:szCs w:val="28"/>
        </w:rPr>
      </w:pPr>
    </w:p>
    <w:p w14:paraId="2A7D5532" w14:textId="1DFA7175" w:rsidR="00E66558" w:rsidRDefault="009E4159">
      <w:pPr>
        <w:rPr>
          <w:b/>
          <w:color w:val="104F75"/>
          <w:sz w:val="28"/>
          <w:szCs w:val="28"/>
        </w:rPr>
      </w:pPr>
      <w:r>
        <w:rPr>
          <w:b/>
          <w:color w:val="104F75"/>
          <w:sz w:val="28"/>
          <w:szCs w:val="28"/>
        </w:rPr>
        <w:t xml:space="preserve">Wider strategies </w:t>
      </w:r>
    </w:p>
    <w:p w14:paraId="2A7D5533" w14:textId="1F0F0800" w:rsidR="00E66558" w:rsidRDefault="00C70E6C">
      <w:pPr>
        <w:spacing w:before="240" w:after="120"/>
      </w:pPr>
      <w:r>
        <w:t xml:space="preserve">Budgeted </w:t>
      </w:r>
      <w:r w:rsidRPr="00983B87">
        <w:rPr>
          <w:color w:val="auto"/>
        </w:rPr>
        <w:t>cost: £103,418</w:t>
      </w:r>
    </w:p>
    <w:tbl>
      <w:tblPr>
        <w:tblW w:w="5000" w:type="pct"/>
        <w:tblCellMar>
          <w:left w:w="10" w:type="dxa"/>
          <w:right w:w="10" w:type="dxa"/>
        </w:tblCellMar>
        <w:tblLook w:val="04A0" w:firstRow="1" w:lastRow="0" w:firstColumn="1" w:lastColumn="0" w:noHBand="0" w:noVBand="1"/>
      </w:tblPr>
      <w:tblGrid>
        <w:gridCol w:w="2263"/>
        <w:gridCol w:w="5670"/>
        <w:gridCol w:w="1553"/>
      </w:tblGrid>
      <w:tr w:rsidR="00E66558" w14:paraId="2A7D5537"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93E9" w14:textId="66632B25" w:rsidR="00382E87" w:rsidRDefault="00382E87" w:rsidP="00C70E6C">
            <w:pPr>
              <w:pStyle w:val="TableRow"/>
              <w:rPr>
                <w:sz w:val="20"/>
              </w:rPr>
            </w:pPr>
            <w:r>
              <w:rPr>
                <w:sz w:val="20"/>
              </w:rPr>
              <w:t>To engage with and support families in a pastoral capacity to</w:t>
            </w:r>
            <w:r w:rsidR="00672C4F">
              <w:rPr>
                <w:sz w:val="20"/>
              </w:rPr>
              <w:t xml:space="preserve"> strengthen parental engagement</w:t>
            </w:r>
            <w:r w:rsidR="00D740C1">
              <w:rPr>
                <w:sz w:val="20"/>
              </w:rPr>
              <w:t>.</w:t>
            </w:r>
          </w:p>
          <w:p w14:paraId="7E3044AA" w14:textId="77777777" w:rsidR="00382E87" w:rsidRDefault="00382E87" w:rsidP="00C70E6C">
            <w:pPr>
              <w:pStyle w:val="TableRow"/>
              <w:rPr>
                <w:sz w:val="20"/>
              </w:rPr>
            </w:pPr>
          </w:p>
          <w:p w14:paraId="2A7D5538" w14:textId="019F7F05" w:rsidR="00382E87" w:rsidRPr="00C70E6C" w:rsidRDefault="00382E87" w:rsidP="00276C40">
            <w:pPr>
              <w:pStyle w:val="TableRow"/>
            </w:pPr>
            <w:r>
              <w:rPr>
                <w:sz w:val="20"/>
              </w:rPr>
              <w:t>Attendance officer</w:t>
            </w:r>
            <w:r w:rsidR="00C70E6C" w:rsidRPr="00C70E6C">
              <w:rPr>
                <w:sz w:val="20"/>
              </w:rPr>
              <w:t xml:space="preserve"> to monitor pupils and follow up quickly on absences. </w:t>
            </w:r>
            <w:r w:rsidR="00C70E6C">
              <w:rPr>
                <w:sz w:val="20"/>
              </w:rPr>
              <w:t>To improve attendance</w:t>
            </w:r>
            <w:r w:rsidR="00C70E6C" w:rsidRPr="00C70E6C">
              <w:rPr>
                <w:sz w:val="20"/>
              </w:rPr>
              <w:t xml:space="preserve"> rates of all pupils </w:t>
            </w:r>
            <w:r w:rsidR="00C70E6C">
              <w:rPr>
                <w:sz w:val="20"/>
              </w:rPr>
              <w:t>(including disadvantaged) and reduce the percentage of persistent absentees.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6305" w14:textId="77777777" w:rsidR="00E66558" w:rsidRDefault="00672C4F" w:rsidP="00672C4F">
            <w:pPr>
              <w:pStyle w:val="TableRowCentered"/>
              <w:jc w:val="left"/>
              <w:rPr>
                <w:sz w:val="20"/>
              </w:rPr>
            </w:pPr>
            <w:r>
              <w:rPr>
                <w:sz w:val="20"/>
              </w:rPr>
              <w:t>P</w:t>
            </w:r>
            <w:r w:rsidR="00C70E6C" w:rsidRPr="00C70E6C">
              <w:rPr>
                <w:sz w:val="20"/>
              </w:rPr>
              <w:t xml:space="preserve">arental engagement is consistently associated with pupils’ success at school, </w:t>
            </w:r>
            <w:r>
              <w:rPr>
                <w:sz w:val="20"/>
              </w:rPr>
              <w:t>and t</w:t>
            </w:r>
            <w:r w:rsidRPr="00C70E6C">
              <w:rPr>
                <w:sz w:val="20"/>
              </w:rPr>
              <w:t xml:space="preserve">here is some evidence that supporting parents with their first child will have </w:t>
            </w:r>
            <w:r>
              <w:rPr>
                <w:sz w:val="20"/>
              </w:rPr>
              <w:t>a knock on benefit</w:t>
            </w:r>
            <w:r w:rsidRPr="00C70E6C">
              <w:rPr>
                <w:sz w:val="20"/>
              </w:rPr>
              <w:t xml:space="preserve"> for siblings.</w:t>
            </w:r>
            <w:r>
              <w:rPr>
                <w:sz w:val="20"/>
              </w:rPr>
              <w:t xml:space="preserve"> D</w:t>
            </w:r>
            <w:r w:rsidR="00C70E6C" w:rsidRPr="00C70E6C">
              <w:rPr>
                <w:sz w:val="20"/>
              </w:rPr>
              <w:t>eveloping effective paren</w:t>
            </w:r>
            <w:r>
              <w:rPr>
                <w:sz w:val="20"/>
              </w:rPr>
              <w:t>tal engagement to improve attainment is challenging and costly and therefore needs to be monitored carefully. Research suggests that the average impact of p</w:t>
            </w:r>
            <w:r w:rsidRPr="00382E87">
              <w:rPr>
                <w:sz w:val="20"/>
              </w:rPr>
              <w:t>arental enga</w:t>
            </w:r>
            <w:r>
              <w:rPr>
                <w:sz w:val="20"/>
              </w:rPr>
              <w:t>gement approaches is</w:t>
            </w:r>
            <w:r w:rsidRPr="00382E87">
              <w:rPr>
                <w:sz w:val="20"/>
              </w:rPr>
              <w:t xml:space="preserve"> an additional four months’ progress over the course of a year. There are also higher impacts for pupils with low prior attainment.</w:t>
            </w:r>
            <w:r w:rsidR="00C70E6C" w:rsidRPr="00C70E6C">
              <w:rPr>
                <w:sz w:val="20"/>
              </w:rPr>
              <w:t xml:space="preserve"> Parents’ aspirations also appear to be important for pupil outcomes, although there is limited evidence to show that intervening to change parents’ aspirations will raise their children’s aspirations and ach</w:t>
            </w:r>
            <w:r>
              <w:rPr>
                <w:sz w:val="20"/>
              </w:rPr>
              <w:t xml:space="preserve">ievement over the longer term. </w:t>
            </w:r>
          </w:p>
          <w:p w14:paraId="2A7D5539" w14:textId="4EBFD1F2" w:rsidR="00672C4F" w:rsidRPr="00C70E6C" w:rsidRDefault="00E422D2" w:rsidP="00672C4F">
            <w:pPr>
              <w:pStyle w:val="TableRowCentered"/>
              <w:jc w:val="left"/>
              <w:rPr>
                <w:sz w:val="20"/>
              </w:rPr>
            </w:pPr>
            <w:hyperlink r:id="rId14" w:history="1">
              <w:r w:rsidR="00672C4F" w:rsidRPr="00816902">
                <w:rPr>
                  <w:rStyle w:val="Hyperlink"/>
                  <w:sz w:val="16"/>
                </w:rPr>
                <w:t>https://educationendowmentfoundation.org.uk/education-evidence/teaching-learning-toolkit/parental-engagement</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D830" w14:textId="77777777" w:rsidR="00E66558" w:rsidRDefault="00D740C1">
            <w:pPr>
              <w:pStyle w:val="TableRowCentered"/>
              <w:jc w:val="left"/>
              <w:rPr>
                <w:sz w:val="20"/>
              </w:rPr>
            </w:pPr>
            <w:r>
              <w:rPr>
                <w:sz w:val="20"/>
              </w:rPr>
              <w:t>4</w:t>
            </w:r>
          </w:p>
          <w:p w14:paraId="77B0553A" w14:textId="77777777" w:rsidR="00D740C1" w:rsidRDefault="00D740C1">
            <w:pPr>
              <w:pStyle w:val="TableRowCentered"/>
              <w:jc w:val="left"/>
              <w:rPr>
                <w:sz w:val="20"/>
              </w:rPr>
            </w:pPr>
            <w:r>
              <w:rPr>
                <w:sz w:val="20"/>
              </w:rPr>
              <w:t>5</w:t>
            </w:r>
          </w:p>
          <w:p w14:paraId="542B2F64" w14:textId="77777777" w:rsidR="00D740C1" w:rsidRDefault="00D740C1">
            <w:pPr>
              <w:pStyle w:val="TableRowCentered"/>
              <w:jc w:val="left"/>
              <w:rPr>
                <w:sz w:val="20"/>
              </w:rPr>
            </w:pPr>
            <w:r>
              <w:rPr>
                <w:sz w:val="20"/>
              </w:rPr>
              <w:t>6</w:t>
            </w:r>
          </w:p>
          <w:p w14:paraId="2A7D553A" w14:textId="542849A9" w:rsidR="00D740C1" w:rsidRPr="00C70E6C" w:rsidRDefault="00D740C1">
            <w:pPr>
              <w:pStyle w:val="TableRowCentered"/>
              <w:jc w:val="left"/>
              <w:rPr>
                <w:sz w:val="20"/>
              </w:rPr>
            </w:pPr>
          </w:p>
        </w:tc>
      </w:tr>
      <w:tr w:rsidR="00E66558" w14:paraId="2A7D553F"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438E" w14:textId="77777777" w:rsidR="00672C4F" w:rsidRDefault="00672C4F" w:rsidP="00672C4F">
            <w:pPr>
              <w:pStyle w:val="TableRow"/>
              <w:rPr>
                <w:sz w:val="20"/>
              </w:rPr>
            </w:pPr>
            <w:r w:rsidRPr="00672C4F">
              <w:rPr>
                <w:sz w:val="20"/>
              </w:rPr>
              <w:t xml:space="preserve">Mental Health Support: </w:t>
            </w:r>
          </w:p>
          <w:p w14:paraId="2F6B3D1D" w14:textId="2DDA36BA" w:rsidR="00672C4F" w:rsidRDefault="00672C4F" w:rsidP="00672C4F">
            <w:pPr>
              <w:pStyle w:val="TableRow"/>
              <w:rPr>
                <w:sz w:val="20"/>
              </w:rPr>
            </w:pPr>
            <w:r w:rsidRPr="00672C4F">
              <w:rPr>
                <w:sz w:val="20"/>
              </w:rPr>
              <w:t>Use of Place2Be and other trained staff to improve the mental health of our pupils and increase their readiness to learn.</w:t>
            </w:r>
            <w:r>
              <w:rPr>
                <w:sz w:val="20"/>
              </w:rPr>
              <w:t xml:space="preserve"> </w:t>
            </w:r>
          </w:p>
          <w:p w14:paraId="2A7D553C" w14:textId="753C8FF2" w:rsidR="00E66558" w:rsidRPr="00672C4F" w:rsidRDefault="00672C4F" w:rsidP="00672C4F">
            <w:pPr>
              <w:pStyle w:val="TableRow"/>
              <w:rPr>
                <w:sz w:val="20"/>
              </w:rPr>
            </w:pPr>
            <w:r w:rsidRPr="00672C4F">
              <w:rPr>
                <w:sz w:val="20"/>
              </w:rPr>
              <w:t>Improve children’s emotional well-being in order to engage better with learning in class.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D12E" w14:textId="03C7D74E" w:rsidR="00672C4F" w:rsidRPr="00672C4F" w:rsidRDefault="00672C4F" w:rsidP="00672C4F">
            <w:pPr>
              <w:pStyle w:val="TableRowCentered"/>
              <w:jc w:val="left"/>
              <w:rPr>
                <w:sz w:val="20"/>
              </w:rPr>
            </w:pPr>
            <w:r w:rsidRPr="00672C4F">
              <w:rPr>
                <w:sz w:val="20"/>
              </w:rPr>
              <w:t>Interv</w:t>
            </w:r>
            <w:r w:rsidR="003552CB">
              <w:rPr>
                <w:sz w:val="20"/>
              </w:rPr>
              <w:t>entions which target social, emotional, mental health and wellbeing learning (MHWB)</w:t>
            </w:r>
            <w:r w:rsidRPr="00672C4F">
              <w:rPr>
                <w:sz w:val="20"/>
              </w:rPr>
              <w:t xml:space="preserve"> seek to improve pupils’ interaction with others and self-management of emotions, rather than focusing directly on the academic or cognitive elements of </w:t>
            </w:r>
            <w:r w:rsidR="003552CB">
              <w:rPr>
                <w:sz w:val="20"/>
              </w:rPr>
              <w:t>learning. MHWB</w:t>
            </w:r>
            <w:r w:rsidRPr="00672C4F">
              <w:rPr>
                <w:sz w:val="20"/>
              </w:rPr>
              <w:t xml:space="preserve"> interventions might focus on the ways in which students work with (and alongside) their peers, teachers, family or community.</w:t>
            </w:r>
          </w:p>
          <w:p w14:paraId="42BEA901" w14:textId="34CF8B54" w:rsidR="00672C4F" w:rsidRPr="00672C4F" w:rsidRDefault="003552CB" w:rsidP="00672C4F">
            <w:pPr>
              <w:pStyle w:val="TableRowCentered"/>
              <w:jc w:val="left"/>
              <w:rPr>
                <w:sz w:val="20"/>
              </w:rPr>
            </w:pPr>
            <w:r>
              <w:rPr>
                <w:sz w:val="20"/>
              </w:rPr>
              <w:t>Three broad categories of</w:t>
            </w:r>
            <w:r w:rsidR="00672C4F" w:rsidRPr="00672C4F">
              <w:rPr>
                <w:sz w:val="20"/>
              </w:rPr>
              <w:t xml:space="preserve"> interventions can be identified:</w:t>
            </w:r>
          </w:p>
          <w:p w14:paraId="2766564B" w14:textId="15CBC074" w:rsidR="00672C4F" w:rsidRPr="00672C4F" w:rsidRDefault="003552CB" w:rsidP="003552CB">
            <w:pPr>
              <w:pStyle w:val="TableRowCentered"/>
              <w:numPr>
                <w:ilvl w:val="0"/>
                <w:numId w:val="14"/>
              </w:numPr>
              <w:jc w:val="left"/>
              <w:rPr>
                <w:sz w:val="20"/>
              </w:rPr>
            </w:pPr>
            <w:r>
              <w:rPr>
                <w:sz w:val="20"/>
              </w:rPr>
              <w:t>U</w:t>
            </w:r>
            <w:r w:rsidR="00672C4F" w:rsidRPr="00672C4F">
              <w:rPr>
                <w:sz w:val="20"/>
              </w:rPr>
              <w:t>niversal programmes which generally take place in t</w:t>
            </w:r>
            <w:r>
              <w:rPr>
                <w:sz w:val="20"/>
              </w:rPr>
              <w:t>he classroom</w:t>
            </w:r>
          </w:p>
          <w:p w14:paraId="3F4CC486" w14:textId="4F4A3FCF" w:rsidR="003552CB" w:rsidRDefault="003552CB" w:rsidP="00720022">
            <w:pPr>
              <w:pStyle w:val="TableRowCentered"/>
              <w:numPr>
                <w:ilvl w:val="0"/>
                <w:numId w:val="14"/>
              </w:numPr>
              <w:jc w:val="left"/>
              <w:rPr>
                <w:sz w:val="20"/>
              </w:rPr>
            </w:pPr>
            <w:r w:rsidRPr="003552CB">
              <w:rPr>
                <w:sz w:val="20"/>
              </w:rPr>
              <w:t>M</w:t>
            </w:r>
            <w:r w:rsidR="00672C4F" w:rsidRPr="003552CB">
              <w:rPr>
                <w:sz w:val="20"/>
              </w:rPr>
              <w:t>ore specialised programmes which are targeted at students with particula</w:t>
            </w:r>
            <w:r>
              <w:rPr>
                <w:sz w:val="20"/>
              </w:rPr>
              <w:t>r social or emotional needs</w:t>
            </w:r>
          </w:p>
          <w:p w14:paraId="2B011676" w14:textId="1F3928A0" w:rsidR="00672C4F" w:rsidRPr="003552CB" w:rsidRDefault="003552CB" w:rsidP="00720022">
            <w:pPr>
              <w:pStyle w:val="TableRowCentered"/>
              <w:numPr>
                <w:ilvl w:val="0"/>
                <w:numId w:val="14"/>
              </w:numPr>
              <w:jc w:val="left"/>
              <w:rPr>
                <w:sz w:val="20"/>
              </w:rPr>
            </w:pPr>
            <w:r>
              <w:rPr>
                <w:sz w:val="20"/>
              </w:rPr>
              <w:t>S</w:t>
            </w:r>
            <w:r w:rsidR="00672C4F" w:rsidRPr="003552CB">
              <w:rPr>
                <w:sz w:val="20"/>
              </w:rPr>
              <w:t>chool-level approaches to developing a positive school ethos, which also aim to support greater engagement in learning.</w:t>
            </w:r>
          </w:p>
          <w:p w14:paraId="19C27565" w14:textId="76B24418" w:rsidR="00E66558" w:rsidRDefault="003552CB" w:rsidP="00672C4F">
            <w:pPr>
              <w:pStyle w:val="TableRowCentered"/>
              <w:jc w:val="left"/>
              <w:rPr>
                <w:sz w:val="20"/>
              </w:rPr>
            </w:pPr>
            <w:r>
              <w:rPr>
                <w:sz w:val="20"/>
              </w:rPr>
              <w:t>On average, MHWB</w:t>
            </w:r>
            <w:r w:rsidR="00672C4F" w:rsidRPr="00672C4F">
              <w:rPr>
                <w:sz w:val="20"/>
              </w:rPr>
              <w:t xml:space="preserve"> interventions have an identifiable and valuable impact on attitudes to learning and social relationships in school. They also have an average overall impact of four months' additional progress on attainment.</w:t>
            </w:r>
            <w:r>
              <w:rPr>
                <w:sz w:val="20"/>
              </w:rPr>
              <w:t xml:space="preserve"> Although MHWB</w:t>
            </w:r>
            <w:r w:rsidR="00672C4F" w:rsidRPr="00672C4F">
              <w:rPr>
                <w:sz w:val="20"/>
              </w:rPr>
              <w:t xml:space="preserve"> interventions are </w:t>
            </w:r>
            <w:r>
              <w:rPr>
                <w:sz w:val="20"/>
              </w:rPr>
              <w:t>generally</w:t>
            </w:r>
            <w:r w:rsidR="00672C4F" w:rsidRPr="00672C4F">
              <w:rPr>
                <w:sz w:val="20"/>
              </w:rPr>
              <w:t xml:space="preserve"> perceived to improve emotional or attitudinal outcomes, not all interventions are equally effective at raising attainment. Improvem</w:t>
            </w:r>
            <w:r>
              <w:rPr>
                <w:sz w:val="20"/>
              </w:rPr>
              <w:t>ents appear more likely when MHWB</w:t>
            </w:r>
            <w:r w:rsidR="00672C4F" w:rsidRPr="00672C4F">
              <w:rPr>
                <w:sz w:val="20"/>
              </w:rPr>
              <w:t xml:space="preserve"> approaches are embedded into routine educational practices and supported by professional development and training for staff. </w:t>
            </w:r>
          </w:p>
          <w:p w14:paraId="2A7D553D" w14:textId="109458B8" w:rsidR="00672C4F" w:rsidRPr="00672C4F" w:rsidRDefault="00E422D2" w:rsidP="003552CB">
            <w:pPr>
              <w:pStyle w:val="TableRowCentered"/>
              <w:jc w:val="left"/>
              <w:rPr>
                <w:sz w:val="20"/>
              </w:rPr>
            </w:pPr>
            <w:hyperlink r:id="rId15" w:history="1">
              <w:r w:rsidR="00672C4F" w:rsidRPr="00672C4F">
                <w:rPr>
                  <w:rStyle w:val="Hyperlink"/>
                  <w:sz w:val="16"/>
                </w:rPr>
                <w:t>https://educationendowmentfoundation.org.uk/education-evidence/teaching-learning-toolkit/social-and-emotional-learning</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0AA1460" w:rsidR="00E66558" w:rsidRPr="00672C4F" w:rsidRDefault="00D740C1">
            <w:pPr>
              <w:pStyle w:val="TableRowCentered"/>
              <w:jc w:val="left"/>
              <w:rPr>
                <w:sz w:val="20"/>
              </w:rPr>
            </w:pPr>
            <w:r>
              <w:rPr>
                <w:sz w:val="20"/>
              </w:rPr>
              <w:t>7</w:t>
            </w:r>
          </w:p>
        </w:tc>
      </w:tr>
      <w:tr w:rsidR="00672C4F" w14:paraId="3108FFE7"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1E31" w14:textId="575B01E4" w:rsidR="003552CB" w:rsidRDefault="00FC12F6" w:rsidP="003552CB">
            <w:pPr>
              <w:pStyle w:val="TableRow"/>
              <w:ind w:left="0"/>
              <w:rPr>
                <w:sz w:val="20"/>
              </w:rPr>
            </w:pPr>
            <w:r>
              <w:rPr>
                <w:sz w:val="20"/>
              </w:rPr>
              <w:t xml:space="preserve">To continue to </w:t>
            </w:r>
            <w:proofErr w:type="gramStart"/>
            <w:r>
              <w:rPr>
                <w:sz w:val="20"/>
              </w:rPr>
              <w:t xml:space="preserve">embed </w:t>
            </w:r>
            <w:r w:rsidR="003552CB">
              <w:rPr>
                <w:sz w:val="20"/>
              </w:rPr>
              <w:t xml:space="preserve"> Rest</w:t>
            </w:r>
            <w:proofErr w:type="gramEnd"/>
            <w:r w:rsidR="003552CB">
              <w:rPr>
                <w:sz w:val="20"/>
              </w:rPr>
              <w:t xml:space="preserve"> Easy and PIVOTAL approaches to improve children’s behaviour</w:t>
            </w:r>
            <w:r w:rsidR="003552CB" w:rsidRPr="003552CB">
              <w:rPr>
                <w:sz w:val="20"/>
              </w:rPr>
              <w:t xml:space="preserve"> in order to engage better with learning in class.</w:t>
            </w:r>
          </w:p>
          <w:p w14:paraId="056E3D61" w14:textId="37AE91AC" w:rsidR="003552CB" w:rsidRPr="003552CB" w:rsidRDefault="003552CB" w:rsidP="003552CB">
            <w:pPr>
              <w:pStyle w:val="TableRow"/>
              <w:ind w:left="0"/>
              <w:rPr>
                <w:sz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C9B63" w14:textId="549A7B1B" w:rsidR="003552CB" w:rsidRPr="003552CB" w:rsidRDefault="003552CB" w:rsidP="003552CB">
            <w:pPr>
              <w:pStyle w:val="TableRowCentered"/>
              <w:jc w:val="left"/>
              <w:rPr>
                <w:sz w:val="20"/>
              </w:rPr>
            </w:pPr>
            <w:r w:rsidRPr="003552CB">
              <w:rPr>
                <w:sz w:val="20"/>
              </w:rPr>
              <w:t>Behaviour interventions seek to improve attainment by reducing challenging behaviour. The interventions themselves can be split into three broad categories:</w:t>
            </w:r>
          </w:p>
          <w:p w14:paraId="25B08CCF" w14:textId="7CDF3198" w:rsidR="003552CB" w:rsidRPr="003552CB" w:rsidRDefault="003552CB" w:rsidP="00720022">
            <w:pPr>
              <w:pStyle w:val="TableRowCentered"/>
              <w:numPr>
                <w:ilvl w:val="0"/>
                <w:numId w:val="15"/>
              </w:numPr>
              <w:jc w:val="left"/>
              <w:rPr>
                <w:sz w:val="20"/>
              </w:rPr>
            </w:pPr>
            <w:r>
              <w:rPr>
                <w:sz w:val="20"/>
              </w:rPr>
              <w:t>A</w:t>
            </w:r>
            <w:r w:rsidRPr="003552CB">
              <w:rPr>
                <w:sz w:val="20"/>
              </w:rPr>
              <w:t>pproaches to developing a positive school ethos or improving discipline across the whole school which also aim to support greater en</w:t>
            </w:r>
            <w:r>
              <w:rPr>
                <w:sz w:val="20"/>
              </w:rPr>
              <w:t>gagement in learning.</w:t>
            </w:r>
          </w:p>
          <w:p w14:paraId="077E7034" w14:textId="7A61E4E5" w:rsidR="003552CB" w:rsidRDefault="003552CB" w:rsidP="003552CB">
            <w:pPr>
              <w:pStyle w:val="TableRowCentered"/>
              <w:numPr>
                <w:ilvl w:val="0"/>
                <w:numId w:val="15"/>
              </w:numPr>
              <w:jc w:val="left"/>
              <w:rPr>
                <w:sz w:val="20"/>
              </w:rPr>
            </w:pPr>
            <w:r>
              <w:rPr>
                <w:sz w:val="20"/>
              </w:rPr>
              <w:t>U</w:t>
            </w:r>
            <w:r w:rsidRPr="003552CB">
              <w:rPr>
                <w:sz w:val="20"/>
              </w:rPr>
              <w:t>niversal programmes which seek to improve behaviour and general</w:t>
            </w:r>
            <w:r>
              <w:rPr>
                <w:sz w:val="20"/>
              </w:rPr>
              <w:t>ly take place in the classroom.</w:t>
            </w:r>
          </w:p>
          <w:p w14:paraId="5FADA4D4" w14:textId="67BC9BF6" w:rsidR="003552CB" w:rsidRPr="003552CB" w:rsidRDefault="003552CB" w:rsidP="003552CB">
            <w:pPr>
              <w:pStyle w:val="TableRowCentered"/>
              <w:numPr>
                <w:ilvl w:val="0"/>
                <w:numId w:val="15"/>
              </w:numPr>
              <w:jc w:val="left"/>
              <w:rPr>
                <w:sz w:val="20"/>
              </w:rPr>
            </w:pPr>
            <w:r>
              <w:rPr>
                <w:sz w:val="20"/>
              </w:rPr>
              <w:t>M</w:t>
            </w:r>
            <w:r w:rsidRPr="003552CB">
              <w:rPr>
                <w:sz w:val="20"/>
              </w:rPr>
              <w:t>ore specialised programmes which are targeted at students with specific behavioural issues.</w:t>
            </w:r>
          </w:p>
          <w:p w14:paraId="6BAA5874" w14:textId="496F4379" w:rsidR="003552CB" w:rsidRPr="003552CB" w:rsidRDefault="003552CB" w:rsidP="003552CB">
            <w:pPr>
              <w:pStyle w:val="TableRowCentered"/>
              <w:jc w:val="left"/>
              <w:rPr>
                <w:sz w:val="20"/>
              </w:rPr>
            </w:pPr>
            <w:r w:rsidRPr="003552CB">
              <w:rPr>
                <w:sz w:val="20"/>
              </w:rPr>
              <w:t>Evidence suggests that, on average, behaviour interventions can produce moderate improvements in academic performance along with a decrease in problematic behaviours. Impacts are larger for targeted interventions matched to specific students with particular needs</w:t>
            </w:r>
            <w:r w:rsidR="00D740C1">
              <w:rPr>
                <w:sz w:val="20"/>
              </w:rPr>
              <w:t>.</w:t>
            </w:r>
            <w:r w:rsidRPr="003552CB">
              <w:rPr>
                <w:sz w:val="20"/>
              </w:rPr>
              <w:t xml:space="preserve"> School-level behaviour approaches are often related to improvements</w:t>
            </w:r>
            <w:r w:rsidR="00D740C1">
              <w:rPr>
                <w:sz w:val="20"/>
              </w:rPr>
              <w:t xml:space="preserve"> in attainment and p</w:t>
            </w:r>
            <w:r w:rsidRPr="003552CB">
              <w:rPr>
                <w:sz w:val="20"/>
              </w:rPr>
              <w:t>arental and community involvement programmes are often asso</w:t>
            </w:r>
            <w:r w:rsidR="00D740C1">
              <w:rPr>
                <w:sz w:val="20"/>
              </w:rPr>
              <w:t>ciated with</w:t>
            </w:r>
            <w:r w:rsidRPr="003552CB">
              <w:rPr>
                <w:sz w:val="20"/>
              </w:rPr>
              <w:t xml:space="preserve"> </w:t>
            </w:r>
            <w:r w:rsidR="00D740C1">
              <w:rPr>
                <w:sz w:val="20"/>
              </w:rPr>
              <w:t xml:space="preserve">improvements. </w:t>
            </w:r>
            <w:r w:rsidRPr="003552CB">
              <w:rPr>
                <w:sz w:val="20"/>
              </w:rPr>
              <w:t>Approaches such as improving teachers’ behaviour management and pupils’ cognitive and social skills seem to be equally effective.</w:t>
            </w:r>
          </w:p>
          <w:p w14:paraId="71356629" w14:textId="4211C773" w:rsidR="00D740C1" w:rsidRPr="00672C4F" w:rsidRDefault="00E422D2" w:rsidP="00D740C1">
            <w:pPr>
              <w:pStyle w:val="TableRowCentered"/>
              <w:jc w:val="left"/>
              <w:rPr>
                <w:sz w:val="20"/>
              </w:rPr>
            </w:pPr>
            <w:hyperlink r:id="rId16" w:history="1">
              <w:r w:rsidR="00D740C1" w:rsidRPr="00D740C1">
                <w:rPr>
                  <w:rStyle w:val="Hyperlink"/>
                  <w:sz w:val="16"/>
                </w:rPr>
                <w:t>https://educationendowmentfoundation.org.uk/education-evidence/teaching-learning-toolkit/behaviour-interventions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2E61" w14:textId="641F4252" w:rsidR="00672C4F" w:rsidRPr="00672C4F" w:rsidRDefault="00D740C1">
            <w:pPr>
              <w:pStyle w:val="TableRowCentered"/>
              <w:jc w:val="left"/>
              <w:rPr>
                <w:sz w:val="20"/>
              </w:rPr>
            </w:pPr>
            <w:r>
              <w:rPr>
                <w:sz w:val="20"/>
              </w:rPr>
              <w:t>7</w:t>
            </w:r>
          </w:p>
        </w:tc>
      </w:tr>
    </w:tbl>
    <w:p w14:paraId="2A7D5540" w14:textId="77777777" w:rsidR="00E66558" w:rsidRDefault="00E66558">
      <w:pPr>
        <w:spacing w:before="240" w:after="0"/>
        <w:rPr>
          <w:b/>
          <w:bCs/>
          <w:color w:val="104F75"/>
          <w:sz w:val="28"/>
          <w:szCs w:val="28"/>
        </w:rPr>
      </w:pPr>
    </w:p>
    <w:p w14:paraId="2A7D5541" w14:textId="4166DBB8" w:rsidR="00E66558" w:rsidRPr="00FC12F6" w:rsidRDefault="00983B87" w:rsidP="00120AB1">
      <w:pPr>
        <w:rPr>
          <w:color w:val="FF0000"/>
        </w:rPr>
      </w:pPr>
      <w:r>
        <w:rPr>
          <w:b/>
          <w:bCs/>
          <w:color w:val="104F75"/>
          <w:sz w:val="28"/>
          <w:szCs w:val="28"/>
        </w:rPr>
        <w:t xml:space="preserve">Total budgeted cost: </w:t>
      </w:r>
      <w:r w:rsidRPr="00983B87">
        <w:rPr>
          <w:b/>
          <w:bCs/>
          <w:color w:val="104F75"/>
          <w:sz w:val="28"/>
          <w:szCs w:val="28"/>
        </w:rPr>
        <w:t>£288,055</w:t>
      </w:r>
    </w:p>
    <w:p w14:paraId="2A7D5542" w14:textId="77777777" w:rsidR="00E66558" w:rsidRDefault="009D71E8">
      <w:pPr>
        <w:pStyle w:val="Heading1"/>
      </w:pPr>
      <w:r>
        <w:t>Part B: Review of outcomes in the previous academic year</w:t>
      </w:r>
    </w:p>
    <w:p w14:paraId="2A7D5543" w14:textId="52FA9885" w:rsidR="00E66558" w:rsidRDefault="009D71E8">
      <w:pPr>
        <w:pStyle w:val="Heading2"/>
      </w:pPr>
      <w:r>
        <w:t>Pupil premium strategy outcomes</w:t>
      </w:r>
    </w:p>
    <w:p w14:paraId="0A42B1CA" w14:textId="77777777" w:rsidR="00BA1A1A" w:rsidRDefault="009B1C9B" w:rsidP="00BA1A1A">
      <w:pPr>
        <w:spacing w:after="0"/>
        <w:jc w:val="center"/>
      </w:pPr>
      <w:r>
        <w:t xml:space="preserve">This details the impact that our pupil premium activity has had on pupils over the </w:t>
      </w:r>
    </w:p>
    <w:p w14:paraId="0003F288" w14:textId="456B710B" w:rsidR="009B1C9B" w:rsidRDefault="009B1C9B" w:rsidP="00BA1A1A">
      <w:pPr>
        <w:spacing w:after="120"/>
        <w:jc w:val="center"/>
      </w:pPr>
      <w:r>
        <w:t xml:space="preserve">2021 to </w:t>
      </w:r>
      <w:r w:rsidR="00983B87">
        <w:t>202</w:t>
      </w:r>
      <w:r w:rsidR="00E422D2">
        <w:t>3</w:t>
      </w:r>
      <w:r>
        <w:t xml:space="preserve"> academic year.</w:t>
      </w:r>
    </w:p>
    <w:tbl>
      <w:tblPr>
        <w:tblStyle w:val="TableGrid"/>
        <w:tblW w:w="0" w:type="auto"/>
        <w:tblLook w:val="04A0" w:firstRow="1" w:lastRow="0" w:firstColumn="1" w:lastColumn="0" w:noHBand="0" w:noVBand="1"/>
      </w:tblPr>
      <w:tblGrid>
        <w:gridCol w:w="2122"/>
        <w:gridCol w:w="7364"/>
      </w:tblGrid>
      <w:tr w:rsidR="00E577E6" w:rsidRPr="006C26FD" w14:paraId="73B014F9" w14:textId="77777777" w:rsidTr="00610D7A">
        <w:trPr>
          <w:trHeight w:val="297"/>
        </w:trPr>
        <w:tc>
          <w:tcPr>
            <w:tcW w:w="2122" w:type="dxa"/>
          </w:tcPr>
          <w:p w14:paraId="5717D18F" w14:textId="6D500541" w:rsidR="00E577E6" w:rsidRPr="006C26FD" w:rsidRDefault="00E577E6" w:rsidP="009B1C9B">
            <w:pPr>
              <w:rPr>
                <w:sz w:val="20"/>
                <w:szCs w:val="22"/>
              </w:rPr>
            </w:pPr>
            <w:r w:rsidRPr="006C26FD">
              <w:rPr>
                <w:sz w:val="20"/>
                <w:szCs w:val="22"/>
              </w:rPr>
              <w:t>Aim</w:t>
            </w:r>
          </w:p>
        </w:tc>
        <w:tc>
          <w:tcPr>
            <w:tcW w:w="7364" w:type="dxa"/>
          </w:tcPr>
          <w:p w14:paraId="47CF384F" w14:textId="6934849C" w:rsidR="00E577E6" w:rsidRPr="006C26FD" w:rsidRDefault="00E577E6" w:rsidP="009B1C9B">
            <w:pPr>
              <w:rPr>
                <w:sz w:val="20"/>
                <w:szCs w:val="22"/>
              </w:rPr>
            </w:pPr>
            <w:r w:rsidRPr="006C26FD">
              <w:rPr>
                <w:sz w:val="20"/>
                <w:szCs w:val="22"/>
              </w:rPr>
              <w:t>Outcome</w:t>
            </w:r>
          </w:p>
        </w:tc>
      </w:tr>
      <w:tr w:rsidR="00E577E6" w:rsidRPr="006C26FD" w14:paraId="448337F4" w14:textId="77777777" w:rsidTr="00610D7A">
        <w:trPr>
          <w:trHeight w:val="699"/>
        </w:trPr>
        <w:tc>
          <w:tcPr>
            <w:tcW w:w="2122" w:type="dxa"/>
          </w:tcPr>
          <w:p w14:paraId="7C958A01" w14:textId="33EB50C3" w:rsidR="00E577E6" w:rsidRPr="006C26FD" w:rsidRDefault="00E577E6" w:rsidP="00E577E6">
            <w:pPr>
              <w:rPr>
                <w:sz w:val="20"/>
                <w:szCs w:val="22"/>
              </w:rPr>
            </w:pPr>
            <w:r w:rsidRPr="006C26FD">
              <w:rPr>
                <w:sz w:val="20"/>
                <w:szCs w:val="22"/>
              </w:rPr>
              <w:t xml:space="preserve">Access to high quality CPD for staff to ensure quality first mastery teaching is widespread throughout the school. </w:t>
            </w:r>
          </w:p>
          <w:p w14:paraId="45219256" w14:textId="0FDC4B1E" w:rsidR="00E577E6" w:rsidRPr="006C26FD" w:rsidRDefault="00E577E6" w:rsidP="00E577E6">
            <w:pPr>
              <w:rPr>
                <w:sz w:val="20"/>
                <w:szCs w:val="22"/>
              </w:rPr>
            </w:pPr>
            <w:r w:rsidRPr="006C26FD">
              <w:rPr>
                <w:sz w:val="20"/>
                <w:szCs w:val="22"/>
              </w:rPr>
              <w:t>Continued access to high quality schemes of work to ensure systematic practice across the school.</w:t>
            </w:r>
          </w:p>
        </w:tc>
        <w:tc>
          <w:tcPr>
            <w:tcW w:w="7364" w:type="dxa"/>
          </w:tcPr>
          <w:p w14:paraId="137A059D" w14:textId="599CEDAD" w:rsidR="00E577E6" w:rsidRPr="006C26FD" w:rsidRDefault="00E577E6" w:rsidP="00E577E6">
            <w:pPr>
              <w:rPr>
                <w:sz w:val="20"/>
              </w:rPr>
            </w:pPr>
            <w:r w:rsidRPr="006C26FD">
              <w:rPr>
                <w:sz w:val="20"/>
              </w:rPr>
              <w:t>Schemes of work including Maths No Problem and Literacy Counts have continued to provide a mastery curriculum, which has contributed to the recovery of a</w:t>
            </w:r>
            <w:r w:rsidR="00242EBD" w:rsidRPr="006C26FD">
              <w:rPr>
                <w:sz w:val="20"/>
              </w:rPr>
              <w:t xml:space="preserve">ll children following </w:t>
            </w:r>
            <w:r w:rsidR="00FC12F6">
              <w:rPr>
                <w:sz w:val="20"/>
              </w:rPr>
              <w:t>the pandemic</w:t>
            </w:r>
            <w:r w:rsidR="006C26FD">
              <w:rPr>
                <w:sz w:val="20"/>
              </w:rPr>
              <w:t>. A clear focus on reading and</w:t>
            </w:r>
            <w:r w:rsidR="00242EBD" w:rsidRPr="006C26FD">
              <w:rPr>
                <w:sz w:val="20"/>
              </w:rPr>
              <w:t xml:space="preserve"> vocabulary</w:t>
            </w:r>
            <w:r w:rsidR="006C26FD" w:rsidRPr="006C26FD">
              <w:rPr>
                <w:sz w:val="20"/>
              </w:rPr>
              <w:t xml:space="preserve"> throughout the school</w:t>
            </w:r>
            <w:r w:rsidR="00242EBD" w:rsidRPr="006C26FD">
              <w:rPr>
                <w:sz w:val="20"/>
              </w:rPr>
              <w:t xml:space="preserve"> has ensured that our most disadvantaged children </w:t>
            </w:r>
            <w:r w:rsidR="007607FC" w:rsidRPr="006C26FD">
              <w:rPr>
                <w:sz w:val="20"/>
              </w:rPr>
              <w:t xml:space="preserve">are not left behind. </w:t>
            </w:r>
          </w:p>
          <w:p w14:paraId="11D7D5C9" w14:textId="7F44C49C" w:rsidR="006C26FD" w:rsidRPr="006C26FD" w:rsidRDefault="006C26FD" w:rsidP="00E577E6">
            <w:pPr>
              <w:rPr>
                <w:sz w:val="20"/>
              </w:rPr>
            </w:pPr>
            <w:r w:rsidRPr="006C26FD">
              <w:rPr>
                <w:sz w:val="20"/>
              </w:rPr>
              <w:t xml:space="preserve">The Voice21 </w:t>
            </w:r>
            <w:proofErr w:type="spellStart"/>
            <w:r w:rsidRPr="006C26FD">
              <w:rPr>
                <w:sz w:val="20"/>
              </w:rPr>
              <w:t>oracy</w:t>
            </w:r>
            <w:proofErr w:type="spellEnd"/>
            <w:r w:rsidRPr="006C26FD">
              <w:rPr>
                <w:sz w:val="20"/>
              </w:rPr>
              <w:t xml:space="preserve"> project has continued to be developed</w:t>
            </w:r>
            <w:r>
              <w:rPr>
                <w:sz w:val="20"/>
              </w:rPr>
              <w:t xml:space="preserve"> and embedded. </w:t>
            </w:r>
            <w:proofErr w:type="spellStart"/>
            <w:r w:rsidR="00A13DDE">
              <w:rPr>
                <w:sz w:val="20"/>
              </w:rPr>
              <w:t>O</w:t>
            </w:r>
            <w:r w:rsidRPr="006C26FD">
              <w:rPr>
                <w:sz w:val="20"/>
              </w:rPr>
              <w:t>racy</w:t>
            </w:r>
            <w:proofErr w:type="spellEnd"/>
            <w:r w:rsidRPr="006C26FD">
              <w:rPr>
                <w:sz w:val="20"/>
              </w:rPr>
              <w:t xml:space="preserve"> has become a golden thread running through our teaching and learning. </w:t>
            </w:r>
            <w:r>
              <w:rPr>
                <w:sz w:val="20"/>
              </w:rPr>
              <w:t xml:space="preserve">Improving our children’s </w:t>
            </w:r>
            <w:r w:rsidRPr="006C26FD">
              <w:rPr>
                <w:sz w:val="20"/>
              </w:rPr>
              <w:t>use of vocabulary, articulation</w:t>
            </w:r>
            <w:r>
              <w:rPr>
                <w:sz w:val="20"/>
              </w:rPr>
              <w:t xml:space="preserve"> of ideas and spoken expression will continue to be a strategy used to support all children and will disproportionately influence our disadvantaged children in a positive way.</w:t>
            </w:r>
            <w:r w:rsidR="00FC12F6">
              <w:rPr>
                <w:sz w:val="20"/>
              </w:rPr>
              <w:t xml:space="preserve"> During the </w:t>
            </w:r>
            <w:r w:rsidR="00A13DDE">
              <w:rPr>
                <w:sz w:val="20"/>
              </w:rPr>
              <w:t xml:space="preserve">next academic year and beyond </w:t>
            </w:r>
            <w:r w:rsidR="00FC12F6">
              <w:rPr>
                <w:sz w:val="20"/>
              </w:rPr>
              <w:t xml:space="preserve">we will endeavour to work collaboratively with other Voice 21 project schools to complete projects and raise the profile of </w:t>
            </w:r>
            <w:proofErr w:type="spellStart"/>
            <w:r w:rsidR="00FC12F6">
              <w:rPr>
                <w:sz w:val="20"/>
              </w:rPr>
              <w:t>oracy</w:t>
            </w:r>
            <w:proofErr w:type="spellEnd"/>
            <w:r w:rsidR="00FC12F6">
              <w:rPr>
                <w:sz w:val="20"/>
              </w:rPr>
              <w:t xml:space="preserve"> further. </w:t>
            </w:r>
          </w:p>
          <w:p w14:paraId="4B361BFF" w14:textId="25B2AF72" w:rsidR="00E577E6" w:rsidRPr="006C26FD" w:rsidRDefault="00E577E6" w:rsidP="00E577E6">
            <w:pPr>
              <w:rPr>
                <w:sz w:val="20"/>
              </w:rPr>
            </w:pPr>
            <w:r w:rsidRPr="006C26FD">
              <w:rPr>
                <w:sz w:val="20"/>
              </w:rPr>
              <w:t xml:space="preserve">Investment in staff CPD has ensured that our children are receiving quality first teaching and lessons are delivered using high quality resources. </w:t>
            </w:r>
            <w:r w:rsidR="007607FC" w:rsidRPr="006C26FD">
              <w:rPr>
                <w:sz w:val="20"/>
              </w:rPr>
              <w:t>This includes Art CPD that focused on the use of sketchbooks and has had a positive impact in the quality of art lessons being delivered across the sch</w:t>
            </w:r>
            <w:r w:rsidR="006C26FD" w:rsidRPr="006C26FD">
              <w:rPr>
                <w:sz w:val="20"/>
              </w:rPr>
              <w:t>ool.</w:t>
            </w:r>
            <w:r w:rsidR="007607FC" w:rsidRPr="006C26FD">
              <w:rPr>
                <w:sz w:val="20"/>
              </w:rPr>
              <w:t xml:space="preserve"> </w:t>
            </w:r>
            <w:r w:rsidR="00A13DDE">
              <w:rPr>
                <w:sz w:val="20"/>
              </w:rPr>
              <w:t xml:space="preserve">As a school we have also invested time into developing our geography, DT and history curriculum. </w:t>
            </w:r>
            <w:r w:rsidR="00FC12F6">
              <w:rPr>
                <w:sz w:val="20"/>
              </w:rPr>
              <w:t xml:space="preserve">During the next academic </w:t>
            </w:r>
            <w:r w:rsidR="009A143B">
              <w:rPr>
                <w:sz w:val="20"/>
              </w:rPr>
              <w:t>year,</w:t>
            </w:r>
            <w:r w:rsidR="00FC12F6">
              <w:rPr>
                <w:sz w:val="20"/>
              </w:rPr>
              <w:t xml:space="preserve"> the C</w:t>
            </w:r>
            <w:r w:rsidR="00A13DDE">
              <w:rPr>
                <w:sz w:val="20"/>
              </w:rPr>
              <w:t>PD focus will be on music to develop the</w:t>
            </w:r>
            <w:r w:rsidR="00FC12F6">
              <w:rPr>
                <w:sz w:val="20"/>
              </w:rPr>
              <w:t xml:space="preserve"> subject</w:t>
            </w:r>
            <w:r w:rsidR="009A143B">
              <w:rPr>
                <w:sz w:val="20"/>
              </w:rPr>
              <w:t xml:space="preserve"> further</w:t>
            </w:r>
            <w:r w:rsidR="00FC12F6">
              <w:rPr>
                <w:sz w:val="20"/>
              </w:rPr>
              <w:t xml:space="preserve">. </w:t>
            </w:r>
          </w:p>
          <w:p w14:paraId="33F7CD14" w14:textId="471C1BFB" w:rsidR="007B71BD" w:rsidRPr="006C26FD" w:rsidRDefault="00242EBD" w:rsidP="00E06820">
            <w:pPr>
              <w:rPr>
                <w:sz w:val="20"/>
              </w:rPr>
            </w:pPr>
            <w:r w:rsidRPr="006C26FD">
              <w:rPr>
                <w:sz w:val="20"/>
              </w:rPr>
              <w:t xml:space="preserve">The introduction of </w:t>
            </w:r>
            <w:r w:rsidR="00E577E6" w:rsidRPr="006C26FD">
              <w:rPr>
                <w:sz w:val="20"/>
              </w:rPr>
              <w:t xml:space="preserve">Little </w:t>
            </w:r>
            <w:proofErr w:type="spellStart"/>
            <w:r w:rsidR="00E577E6" w:rsidRPr="006C26FD">
              <w:rPr>
                <w:sz w:val="20"/>
              </w:rPr>
              <w:t>Wandle</w:t>
            </w:r>
            <w:proofErr w:type="spellEnd"/>
            <w:r w:rsidR="00E577E6" w:rsidRPr="006C26FD">
              <w:rPr>
                <w:sz w:val="20"/>
              </w:rPr>
              <w:t xml:space="preserve"> is having a significant impact on phonics in EYFS and KS1.</w:t>
            </w:r>
            <w:r w:rsidRPr="006C26FD">
              <w:rPr>
                <w:sz w:val="20"/>
              </w:rPr>
              <w:t xml:space="preserve"> </w:t>
            </w:r>
            <w:r w:rsidR="007607FC" w:rsidRPr="006C26FD">
              <w:rPr>
                <w:sz w:val="20"/>
              </w:rPr>
              <w:t>All teaching staff</w:t>
            </w:r>
            <w:r w:rsidR="009A143B">
              <w:rPr>
                <w:sz w:val="20"/>
              </w:rPr>
              <w:t xml:space="preserve">, including TAs, completed </w:t>
            </w:r>
            <w:r w:rsidR="007607FC" w:rsidRPr="006C26FD">
              <w:rPr>
                <w:sz w:val="20"/>
              </w:rPr>
              <w:t xml:space="preserve">training </w:t>
            </w:r>
            <w:r w:rsidR="009A143B">
              <w:rPr>
                <w:sz w:val="20"/>
              </w:rPr>
              <w:t>to ensure</w:t>
            </w:r>
            <w:r w:rsidR="007607FC" w:rsidRPr="006C26FD">
              <w:rPr>
                <w:sz w:val="20"/>
              </w:rPr>
              <w:t xml:space="preserve"> that children in all year groups can access the phonics support they need. </w:t>
            </w:r>
            <w:r w:rsidR="007B71BD" w:rsidRPr="007B71BD">
              <w:rPr>
                <w:sz w:val="20"/>
              </w:rPr>
              <w:t xml:space="preserve">As a result of high quality phonics intervention, children make accelerated progress from their starting points. </w:t>
            </w:r>
            <w:r w:rsidR="007B71BD">
              <w:rPr>
                <w:sz w:val="20"/>
              </w:rPr>
              <w:t>In EYFS a</w:t>
            </w:r>
            <w:r w:rsidR="007B71BD" w:rsidRPr="007B71BD">
              <w:rPr>
                <w:sz w:val="20"/>
              </w:rPr>
              <w:t xml:space="preserve"> </w:t>
            </w:r>
            <w:r w:rsidR="009A143B">
              <w:rPr>
                <w:sz w:val="20"/>
              </w:rPr>
              <w:t xml:space="preserve">significant </w:t>
            </w:r>
            <w:r w:rsidR="007B71BD" w:rsidRPr="007B71BD">
              <w:rPr>
                <w:sz w:val="20"/>
              </w:rPr>
              <w:t xml:space="preserve">majority of pupils have made this accelerated progress from a baseline below ARE to meeting or exceeding expectations in phonics and reading. Children enjoy listening to adults read and develop a love of reading, gaining satisfaction from their growing success in developing independence and fluency. Reading outcomes at the end of reception for </w:t>
            </w:r>
            <w:r w:rsidR="00983B87">
              <w:rPr>
                <w:sz w:val="20"/>
              </w:rPr>
              <w:t>2024</w:t>
            </w:r>
            <w:r w:rsidR="007B71BD" w:rsidRPr="007B71BD">
              <w:rPr>
                <w:sz w:val="20"/>
              </w:rPr>
              <w:t xml:space="preserve"> </w:t>
            </w:r>
            <w:r w:rsidR="009A143B">
              <w:rPr>
                <w:sz w:val="20"/>
              </w:rPr>
              <w:t>are</w:t>
            </w:r>
            <w:r w:rsidR="007B71BD" w:rsidRPr="007B71BD">
              <w:rPr>
                <w:sz w:val="20"/>
              </w:rPr>
              <w:t xml:space="preserve"> in line with national expectations</w:t>
            </w:r>
            <w:r w:rsidR="009A143B">
              <w:rPr>
                <w:sz w:val="20"/>
              </w:rPr>
              <w:t xml:space="preserve"> (word read</w:t>
            </w:r>
            <w:r w:rsidR="00A13DDE">
              <w:rPr>
                <w:sz w:val="20"/>
              </w:rPr>
              <w:t>ing 79</w:t>
            </w:r>
            <w:r w:rsidR="009A143B">
              <w:rPr>
                <w:sz w:val="20"/>
              </w:rPr>
              <w:t xml:space="preserve">%, </w:t>
            </w:r>
            <w:r w:rsidR="009A143B" w:rsidRPr="004D10DB">
              <w:rPr>
                <w:color w:val="auto"/>
                <w:sz w:val="20"/>
              </w:rPr>
              <w:t>comprehension 7</w:t>
            </w:r>
            <w:r w:rsidR="00A13DDE">
              <w:rPr>
                <w:color w:val="auto"/>
                <w:sz w:val="20"/>
              </w:rPr>
              <w:t>6</w:t>
            </w:r>
            <w:r w:rsidR="009A143B" w:rsidRPr="004D10DB">
              <w:rPr>
                <w:color w:val="auto"/>
                <w:sz w:val="20"/>
              </w:rPr>
              <w:t>%)</w:t>
            </w:r>
            <w:r w:rsidR="007B71BD" w:rsidRPr="004D10DB">
              <w:rPr>
                <w:color w:val="auto"/>
                <w:sz w:val="20"/>
              </w:rPr>
              <w:t xml:space="preserve">. </w:t>
            </w:r>
            <w:r w:rsidR="009A143B" w:rsidRPr="004D10DB">
              <w:rPr>
                <w:color w:val="auto"/>
                <w:sz w:val="20"/>
              </w:rPr>
              <w:t>In Year 1</w:t>
            </w:r>
            <w:r w:rsidR="004D10DB" w:rsidRPr="004D10DB">
              <w:rPr>
                <w:color w:val="auto"/>
                <w:sz w:val="20"/>
              </w:rPr>
              <w:t>,</w:t>
            </w:r>
            <w:r w:rsidR="009A143B" w:rsidRPr="004D10DB">
              <w:rPr>
                <w:color w:val="auto"/>
                <w:sz w:val="20"/>
              </w:rPr>
              <w:t xml:space="preserve"> attainment in</w:t>
            </w:r>
            <w:r w:rsidR="00E06820">
              <w:rPr>
                <w:color w:val="auto"/>
                <w:sz w:val="20"/>
              </w:rPr>
              <w:t xml:space="preserve"> phonics rose significantly to 85%</w:t>
            </w:r>
            <w:r w:rsidR="004D10DB" w:rsidRPr="004D10DB">
              <w:rPr>
                <w:color w:val="auto"/>
                <w:sz w:val="20"/>
              </w:rPr>
              <w:t xml:space="preserve">. </w:t>
            </w:r>
            <w:r w:rsidR="00E06820">
              <w:rPr>
                <w:color w:val="auto"/>
                <w:sz w:val="20"/>
              </w:rPr>
              <w:t xml:space="preserve">By the end of </w:t>
            </w:r>
            <w:r w:rsidR="007B71BD" w:rsidRPr="004D10DB">
              <w:rPr>
                <w:color w:val="auto"/>
                <w:sz w:val="20"/>
              </w:rPr>
              <w:t>Year 2</w:t>
            </w:r>
            <w:r w:rsidR="009A143B" w:rsidRPr="004D10DB">
              <w:rPr>
                <w:color w:val="auto"/>
                <w:sz w:val="20"/>
              </w:rPr>
              <w:t>,</w:t>
            </w:r>
            <w:r w:rsidR="007B71BD" w:rsidRPr="004D10DB">
              <w:rPr>
                <w:color w:val="auto"/>
                <w:sz w:val="20"/>
              </w:rPr>
              <w:t xml:space="preserve"> </w:t>
            </w:r>
            <w:r w:rsidR="00E06820">
              <w:rPr>
                <w:color w:val="auto"/>
                <w:sz w:val="20"/>
              </w:rPr>
              <w:t>58% of children who had not passed their phonics screen at the end of Year 1 had achieved the required level to bring the results</w:t>
            </w:r>
            <w:r w:rsidR="009A143B">
              <w:rPr>
                <w:sz w:val="20"/>
              </w:rPr>
              <w:t xml:space="preserve"> broadly in line with national figures</w:t>
            </w:r>
            <w:r w:rsidR="00610D7A" w:rsidRPr="006E0FF7">
              <w:rPr>
                <w:color w:val="auto"/>
                <w:sz w:val="20"/>
              </w:rPr>
              <w:t xml:space="preserve">. There is no gap in the attainment of phonics for PP and NPP children by the end of Year 2. The children who did not meet the expected standard for phonics </w:t>
            </w:r>
            <w:r w:rsidR="00610D7A">
              <w:rPr>
                <w:sz w:val="20"/>
              </w:rPr>
              <w:t xml:space="preserve">will continue to receive targeted academic support and intervention over the next academic year. </w:t>
            </w:r>
          </w:p>
        </w:tc>
      </w:tr>
      <w:tr w:rsidR="00E577E6" w:rsidRPr="006C26FD" w14:paraId="361A975D" w14:textId="77777777" w:rsidTr="00610D7A">
        <w:trPr>
          <w:trHeight w:val="1550"/>
        </w:trPr>
        <w:tc>
          <w:tcPr>
            <w:tcW w:w="2122" w:type="dxa"/>
          </w:tcPr>
          <w:p w14:paraId="7906749D" w14:textId="4BD47FDF" w:rsidR="00E577E6" w:rsidRPr="006C26FD" w:rsidRDefault="00E577E6" w:rsidP="009B1C9B">
            <w:pPr>
              <w:rPr>
                <w:sz w:val="20"/>
                <w:szCs w:val="22"/>
              </w:rPr>
            </w:pPr>
            <w:r w:rsidRPr="006C26FD">
              <w:rPr>
                <w:sz w:val="20"/>
                <w:szCs w:val="22"/>
              </w:rPr>
              <w:t>Targeted academic support including intervention, small class teaching and in class support.</w:t>
            </w:r>
          </w:p>
        </w:tc>
        <w:tc>
          <w:tcPr>
            <w:tcW w:w="7364" w:type="dxa"/>
          </w:tcPr>
          <w:p w14:paraId="10A6288A" w14:textId="38718BE8" w:rsidR="00E577E6" w:rsidRPr="006C26FD" w:rsidRDefault="00E577E6" w:rsidP="00E577E6">
            <w:pPr>
              <w:rPr>
                <w:sz w:val="20"/>
              </w:rPr>
            </w:pPr>
            <w:r w:rsidRPr="006C26FD">
              <w:rPr>
                <w:sz w:val="20"/>
              </w:rPr>
              <w:t>Academic support and intervention from te</w:t>
            </w:r>
            <w:r w:rsidR="00E06820">
              <w:rPr>
                <w:sz w:val="20"/>
              </w:rPr>
              <w:t>achers, TAs, Catch Up Funding and</w:t>
            </w:r>
            <w:r w:rsidR="00242EBD" w:rsidRPr="006C26FD">
              <w:rPr>
                <w:sz w:val="20"/>
              </w:rPr>
              <w:t xml:space="preserve"> our</w:t>
            </w:r>
            <w:r w:rsidRPr="006C26FD">
              <w:rPr>
                <w:sz w:val="20"/>
              </w:rPr>
              <w:t xml:space="preserve"> academic men</w:t>
            </w:r>
            <w:r w:rsidR="00E06820">
              <w:rPr>
                <w:sz w:val="20"/>
              </w:rPr>
              <w:t>tor</w:t>
            </w:r>
            <w:r w:rsidR="00610D7A">
              <w:rPr>
                <w:sz w:val="20"/>
              </w:rPr>
              <w:t xml:space="preserve"> have been invaluable in</w:t>
            </w:r>
            <w:r w:rsidRPr="006C26FD">
              <w:rPr>
                <w:sz w:val="20"/>
              </w:rPr>
              <w:t xml:space="preserve"> support</w:t>
            </w:r>
            <w:r w:rsidR="00610D7A">
              <w:rPr>
                <w:sz w:val="20"/>
              </w:rPr>
              <w:t>ing our children to 'catch up' over the course of this academic year.</w:t>
            </w:r>
          </w:p>
          <w:p w14:paraId="0B854BB0" w14:textId="20F01B9C" w:rsidR="00E577E6" w:rsidRPr="006C26FD" w:rsidRDefault="00E06820" w:rsidP="00E577E6">
            <w:pPr>
              <w:rPr>
                <w:sz w:val="20"/>
              </w:rPr>
            </w:pPr>
            <w:r>
              <w:rPr>
                <w:sz w:val="20"/>
              </w:rPr>
              <w:t>We have continued to work in</w:t>
            </w:r>
            <w:r w:rsidR="007B71BD">
              <w:rPr>
                <w:sz w:val="20"/>
              </w:rPr>
              <w:t xml:space="preserve"> ‘Curriculum T</w:t>
            </w:r>
            <w:r w:rsidR="007B71BD" w:rsidRPr="007B71BD">
              <w:rPr>
                <w:sz w:val="20"/>
              </w:rPr>
              <w:t>eams</w:t>
            </w:r>
            <w:r w:rsidR="007B71BD">
              <w:rPr>
                <w:sz w:val="20"/>
              </w:rPr>
              <w:t>’ designed to focus on curriculum leadership and have worked collaboratively to identify gaps and plan a curriculum that aims</w:t>
            </w:r>
            <w:r w:rsidR="007B71BD" w:rsidRPr="006C26FD">
              <w:rPr>
                <w:sz w:val="20"/>
              </w:rPr>
              <w:t xml:space="preserve"> to plug these </w:t>
            </w:r>
            <w:r w:rsidR="007B71BD">
              <w:rPr>
                <w:sz w:val="20"/>
              </w:rPr>
              <w:t xml:space="preserve">gaps </w:t>
            </w:r>
            <w:r w:rsidR="007B71BD" w:rsidRPr="006C26FD">
              <w:rPr>
                <w:sz w:val="20"/>
              </w:rPr>
              <w:t>as best as possible</w:t>
            </w:r>
            <w:r w:rsidR="007B71BD">
              <w:rPr>
                <w:sz w:val="20"/>
              </w:rPr>
              <w:t>.</w:t>
            </w:r>
          </w:p>
          <w:p w14:paraId="3B660821" w14:textId="7F7F8E8F" w:rsidR="00E577E6" w:rsidRPr="004930C3" w:rsidRDefault="00242EBD" w:rsidP="00E577E6">
            <w:pPr>
              <w:rPr>
                <w:color w:val="auto"/>
                <w:sz w:val="20"/>
                <w:szCs w:val="22"/>
              </w:rPr>
            </w:pPr>
            <w:r w:rsidRPr="006C26FD">
              <w:rPr>
                <w:sz w:val="20"/>
                <w:szCs w:val="22"/>
              </w:rPr>
              <w:t xml:space="preserve">As a </w:t>
            </w:r>
            <w:r w:rsidR="00E577E6" w:rsidRPr="006C26FD">
              <w:rPr>
                <w:sz w:val="20"/>
                <w:szCs w:val="22"/>
              </w:rPr>
              <w:t xml:space="preserve">result of academic support and effective curriculum planning, attainment of our PP children has </w:t>
            </w:r>
            <w:r w:rsidR="004930C3">
              <w:rPr>
                <w:sz w:val="20"/>
                <w:szCs w:val="22"/>
              </w:rPr>
              <w:t>improved significantly with</w:t>
            </w:r>
            <w:r w:rsidR="00E577E6" w:rsidRPr="006C26FD">
              <w:rPr>
                <w:sz w:val="20"/>
                <w:szCs w:val="22"/>
              </w:rPr>
              <w:t xml:space="preserve"> more working at the expected standard for their year group. </w:t>
            </w:r>
            <w:r w:rsidR="004930C3">
              <w:rPr>
                <w:sz w:val="20"/>
                <w:szCs w:val="22"/>
              </w:rPr>
              <w:t xml:space="preserve">Since the start of the academic year, </w:t>
            </w:r>
            <w:r w:rsidR="004930C3" w:rsidRPr="004930C3">
              <w:rPr>
                <w:color w:val="auto"/>
                <w:sz w:val="20"/>
                <w:szCs w:val="22"/>
              </w:rPr>
              <w:t>a</w:t>
            </w:r>
            <w:r w:rsidR="00E577E6" w:rsidRPr="004930C3">
              <w:rPr>
                <w:color w:val="auto"/>
                <w:sz w:val="20"/>
                <w:szCs w:val="22"/>
              </w:rPr>
              <w:t xml:space="preserve">ttainment in reading </w:t>
            </w:r>
            <w:r w:rsidR="00E06820">
              <w:rPr>
                <w:color w:val="auto"/>
                <w:sz w:val="20"/>
                <w:szCs w:val="22"/>
              </w:rPr>
              <w:t>has improved by 14</w:t>
            </w:r>
            <w:r w:rsidR="00E577E6" w:rsidRPr="004930C3">
              <w:rPr>
                <w:color w:val="auto"/>
                <w:sz w:val="20"/>
                <w:szCs w:val="22"/>
              </w:rPr>
              <w:t>%</w:t>
            </w:r>
            <w:r w:rsidR="004930C3" w:rsidRPr="004930C3">
              <w:rPr>
                <w:color w:val="auto"/>
                <w:sz w:val="20"/>
                <w:szCs w:val="22"/>
              </w:rPr>
              <w:t xml:space="preserve">, </w:t>
            </w:r>
            <w:r w:rsidR="00E577E6" w:rsidRPr="004930C3">
              <w:rPr>
                <w:color w:val="auto"/>
                <w:sz w:val="20"/>
                <w:szCs w:val="22"/>
              </w:rPr>
              <w:t xml:space="preserve">attainment in </w:t>
            </w:r>
            <w:r w:rsidR="004930C3" w:rsidRPr="004930C3">
              <w:rPr>
                <w:color w:val="auto"/>
                <w:sz w:val="20"/>
                <w:szCs w:val="22"/>
              </w:rPr>
              <w:t xml:space="preserve">writing has improved by </w:t>
            </w:r>
            <w:r w:rsidR="00E06820">
              <w:rPr>
                <w:color w:val="auto"/>
                <w:sz w:val="20"/>
                <w:szCs w:val="22"/>
              </w:rPr>
              <w:t>19</w:t>
            </w:r>
            <w:r w:rsidR="004930C3" w:rsidRPr="004930C3">
              <w:rPr>
                <w:color w:val="auto"/>
                <w:sz w:val="20"/>
                <w:szCs w:val="22"/>
              </w:rPr>
              <w:t xml:space="preserve">% and attainment in </w:t>
            </w:r>
            <w:r w:rsidR="00E577E6" w:rsidRPr="004930C3">
              <w:rPr>
                <w:color w:val="auto"/>
                <w:sz w:val="20"/>
                <w:szCs w:val="22"/>
              </w:rPr>
              <w:t xml:space="preserve">maths </w:t>
            </w:r>
            <w:r w:rsidR="00E06820">
              <w:rPr>
                <w:color w:val="auto"/>
                <w:sz w:val="20"/>
                <w:szCs w:val="22"/>
              </w:rPr>
              <w:t>has improved by 10</w:t>
            </w:r>
            <w:r w:rsidR="00E577E6" w:rsidRPr="004930C3">
              <w:rPr>
                <w:color w:val="auto"/>
                <w:sz w:val="20"/>
                <w:szCs w:val="22"/>
              </w:rPr>
              <w:t>%.</w:t>
            </w:r>
          </w:p>
          <w:p w14:paraId="44CCCA33" w14:textId="117FDD91" w:rsidR="00242EBD" w:rsidRDefault="00E577E6" w:rsidP="00242EBD">
            <w:pPr>
              <w:rPr>
                <w:sz w:val="20"/>
              </w:rPr>
            </w:pPr>
            <w:r w:rsidRPr="006C26FD">
              <w:rPr>
                <w:sz w:val="20"/>
              </w:rPr>
              <w:t xml:space="preserve">The gap between PP and Non PP children has </w:t>
            </w:r>
            <w:r w:rsidR="0039108C">
              <w:rPr>
                <w:sz w:val="20"/>
              </w:rPr>
              <w:t xml:space="preserve">remained at a similar level </w:t>
            </w:r>
            <w:r w:rsidR="008E465D">
              <w:rPr>
                <w:sz w:val="20"/>
              </w:rPr>
              <w:t xml:space="preserve">throughout the year. </w:t>
            </w:r>
            <w:r w:rsidR="0039108C">
              <w:rPr>
                <w:sz w:val="20"/>
              </w:rPr>
              <w:t xml:space="preserve"> </w:t>
            </w:r>
          </w:p>
          <w:p w14:paraId="02AFEB0B" w14:textId="2C44E879" w:rsidR="00242EBD" w:rsidRDefault="00242EBD" w:rsidP="00242EBD">
            <w:pPr>
              <w:rPr>
                <w:sz w:val="20"/>
              </w:rPr>
            </w:pPr>
            <w:r w:rsidRPr="006C26FD">
              <w:rPr>
                <w:sz w:val="20"/>
              </w:rPr>
              <w:t xml:space="preserve">Writing was the subject area that we, as a school, identified as being </w:t>
            </w:r>
            <w:r w:rsidR="0002736A">
              <w:rPr>
                <w:sz w:val="20"/>
              </w:rPr>
              <w:t>the most impacted by the pandemic</w:t>
            </w:r>
            <w:r w:rsidRPr="006C26FD">
              <w:rPr>
                <w:sz w:val="20"/>
              </w:rPr>
              <w:t>; this was most evident in our disadvantaged pupils. Due to this, we did have a large gap between the attainment of our PP and NPP children when they returned to school in March 2021. It is to be celebrated, that through quality first teaching and a targeted approach to writing this gap has r</w:t>
            </w:r>
            <w:r w:rsidR="0002736A">
              <w:rPr>
                <w:sz w:val="20"/>
              </w:rPr>
              <w:t>educed significantly during the following</w:t>
            </w:r>
            <w:r w:rsidRPr="006C26FD">
              <w:rPr>
                <w:sz w:val="20"/>
              </w:rPr>
              <w:t xml:space="preserve"> </w:t>
            </w:r>
            <w:r w:rsidR="0002736A">
              <w:rPr>
                <w:sz w:val="20"/>
              </w:rPr>
              <w:t xml:space="preserve">two </w:t>
            </w:r>
            <w:r w:rsidRPr="006C26FD">
              <w:rPr>
                <w:sz w:val="20"/>
              </w:rPr>
              <w:t>academic year</w:t>
            </w:r>
            <w:r w:rsidR="0002736A">
              <w:rPr>
                <w:sz w:val="20"/>
              </w:rPr>
              <w:t>s and the gap is now broadly in line with the national gap.</w:t>
            </w:r>
            <w:r w:rsidRPr="006C26FD">
              <w:rPr>
                <w:sz w:val="20"/>
              </w:rPr>
              <w:t xml:space="preserve">  </w:t>
            </w:r>
          </w:p>
          <w:p w14:paraId="3B9A5441" w14:textId="1CEA9EB7" w:rsidR="0002736A" w:rsidRDefault="007B71BD" w:rsidP="0002736A">
            <w:pPr>
              <w:rPr>
                <w:sz w:val="20"/>
              </w:rPr>
            </w:pPr>
            <w:r>
              <w:rPr>
                <w:sz w:val="20"/>
              </w:rPr>
              <w:t>Continui</w:t>
            </w:r>
            <w:r w:rsidR="008E465D">
              <w:rPr>
                <w:sz w:val="20"/>
              </w:rPr>
              <w:t>ng to reduce the gap in maths was</w:t>
            </w:r>
            <w:r>
              <w:rPr>
                <w:sz w:val="20"/>
              </w:rPr>
              <w:t xml:space="preserve"> a priority</w:t>
            </w:r>
            <w:r w:rsidR="007E6BD6">
              <w:rPr>
                <w:sz w:val="20"/>
              </w:rPr>
              <w:t xml:space="preserve">. </w:t>
            </w:r>
            <w:r w:rsidR="008E465D">
              <w:rPr>
                <w:sz w:val="20"/>
              </w:rPr>
              <w:t xml:space="preserve">During the last academic year </w:t>
            </w:r>
            <w:r w:rsidR="0002736A">
              <w:rPr>
                <w:sz w:val="20"/>
              </w:rPr>
              <w:t>67</w:t>
            </w:r>
            <w:r w:rsidR="007E6BD6">
              <w:rPr>
                <w:sz w:val="20"/>
              </w:rPr>
              <w:t xml:space="preserve"> children from Year 4, 5 and 6 </w:t>
            </w:r>
            <w:r w:rsidR="008E465D">
              <w:rPr>
                <w:sz w:val="20"/>
              </w:rPr>
              <w:t>took</w:t>
            </w:r>
            <w:r w:rsidR="007E6BD6">
              <w:rPr>
                <w:sz w:val="20"/>
              </w:rPr>
              <w:t xml:space="preserve"> part in</w:t>
            </w:r>
            <w:r>
              <w:rPr>
                <w:sz w:val="20"/>
              </w:rPr>
              <w:t xml:space="preserve"> </w:t>
            </w:r>
            <w:r w:rsidR="0002736A">
              <w:rPr>
                <w:sz w:val="20"/>
              </w:rPr>
              <w:t>maths</w:t>
            </w:r>
            <w:r w:rsidR="007E6BD6">
              <w:rPr>
                <w:sz w:val="20"/>
              </w:rPr>
              <w:t xml:space="preserve"> intervention with our academic mentor. </w:t>
            </w:r>
            <w:r w:rsidR="008E465D">
              <w:rPr>
                <w:sz w:val="20"/>
              </w:rPr>
              <w:t xml:space="preserve">The majority of these children (68%) were PP children. </w:t>
            </w:r>
            <w:r w:rsidR="0002736A">
              <w:rPr>
                <w:sz w:val="20"/>
              </w:rPr>
              <w:t>This</w:t>
            </w:r>
            <w:r w:rsidR="00FC6894">
              <w:rPr>
                <w:sz w:val="20"/>
              </w:rPr>
              <w:t xml:space="preserve"> intervention </w:t>
            </w:r>
            <w:r w:rsidR="008E465D">
              <w:rPr>
                <w:sz w:val="20"/>
              </w:rPr>
              <w:t>had</w:t>
            </w:r>
            <w:r w:rsidR="00FC6894">
              <w:rPr>
                <w:sz w:val="20"/>
              </w:rPr>
              <w:t xml:space="preserve"> a clear impact in addressing gaps in the childre</w:t>
            </w:r>
            <w:r w:rsidR="0002736A">
              <w:rPr>
                <w:sz w:val="20"/>
              </w:rPr>
              <w:t>n’s knowledge and understanding</w:t>
            </w:r>
            <w:r w:rsidR="00FC6894">
              <w:rPr>
                <w:sz w:val="20"/>
              </w:rPr>
              <w:t xml:space="preserve">. </w:t>
            </w:r>
            <w:r w:rsidR="00FC6894" w:rsidRPr="00FC6894">
              <w:rPr>
                <w:sz w:val="20"/>
              </w:rPr>
              <w:t>The number of children working at the expected standard for thei</w:t>
            </w:r>
            <w:r w:rsidR="0002736A">
              <w:rPr>
                <w:sz w:val="20"/>
              </w:rPr>
              <w:t>r year group has increased by 6</w:t>
            </w:r>
            <w:r w:rsidR="00FC6894" w:rsidRPr="00FC6894">
              <w:rPr>
                <w:sz w:val="20"/>
              </w:rPr>
              <w:t>% since the s</w:t>
            </w:r>
            <w:r w:rsidR="008E465D">
              <w:rPr>
                <w:sz w:val="20"/>
              </w:rPr>
              <w:t>tart of the intervention.</w:t>
            </w:r>
            <w:r w:rsidR="00FC6894" w:rsidRPr="00FC6894">
              <w:rPr>
                <w:sz w:val="20"/>
              </w:rPr>
              <w:t xml:space="preserve"> </w:t>
            </w:r>
            <w:r w:rsidR="0002736A" w:rsidRPr="0002736A">
              <w:rPr>
                <w:sz w:val="20"/>
              </w:rPr>
              <w:t xml:space="preserve">31% made </w:t>
            </w:r>
            <w:r w:rsidR="0002736A">
              <w:rPr>
                <w:sz w:val="20"/>
              </w:rPr>
              <w:t xml:space="preserve">at least </w:t>
            </w:r>
            <w:r w:rsidR="0002736A" w:rsidRPr="0002736A">
              <w:rPr>
                <w:sz w:val="20"/>
              </w:rPr>
              <w:t>expected progress and 14% made accelerated progress as evidenced by their improved or significantly improved NFER standardised score.</w:t>
            </w:r>
          </w:p>
          <w:p w14:paraId="07B4973C" w14:textId="067F9F94" w:rsidR="00F426D9" w:rsidRPr="006C26FD" w:rsidRDefault="0002736A" w:rsidP="0002736A">
            <w:pPr>
              <w:rPr>
                <w:sz w:val="20"/>
              </w:rPr>
            </w:pPr>
            <w:proofErr w:type="spellStart"/>
            <w:r>
              <w:rPr>
                <w:sz w:val="20"/>
              </w:rPr>
              <w:t>SPaG</w:t>
            </w:r>
            <w:proofErr w:type="spellEnd"/>
            <w:r>
              <w:rPr>
                <w:sz w:val="20"/>
              </w:rPr>
              <w:t xml:space="preserve"> was also a focus of the intervention completed by our academic mentor. 34 children took part in </w:t>
            </w:r>
            <w:proofErr w:type="spellStart"/>
            <w:r>
              <w:rPr>
                <w:sz w:val="20"/>
              </w:rPr>
              <w:t>SPaG</w:t>
            </w:r>
            <w:proofErr w:type="spellEnd"/>
            <w:r>
              <w:rPr>
                <w:sz w:val="20"/>
              </w:rPr>
              <w:t xml:space="preserve"> intervention The majority of these children (74%) were PP children. </w:t>
            </w:r>
            <w:r w:rsidRPr="00FC6894">
              <w:rPr>
                <w:sz w:val="20"/>
              </w:rPr>
              <w:t>The number of children working at the expected standard for thei</w:t>
            </w:r>
            <w:r>
              <w:rPr>
                <w:sz w:val="20"/>
              </w:rPr>
              <w:t>r year group has increased by 21</w:t>
            </w:r>
            <w:r w:rsidRPr="00FC6894">
              <w:rPr>
                <w:sz w:val="20"/>
              </w:rPr>
              <w:t>% since the s</w:t>
            </w:r>
            <w:r>
              <w:rPr>
                <w:sz w:val="20"/>
              </w:rPr>
              <w:t xml:space="preserve">tart of the intervention and teachers reported that the children’s confidence also improved. </w:t>
            </w:r>
          </w:p>
        </w:tc>
      </w:tr>
      <w:tr w:rsidR="00E577E6" w:rsidRPr="006C26FD" w14:paraId="4C20445E" w14:textId="77777777" w:rsidTr="00610D7A">
        <w:tc>
          <w:tcPr>
            <w:tcW w:w="2122" w:type="dxa"/>
          </w:tcPr>
          <w:p w14:paraId="50B8856B" w14:textId="77777777" w:rsidR="00391771" w:rsidRPr="00391771" w:rsidRDefault="00391771" w:rsidP="00391771">
            <w:pPr>
              <w:spacing w:after="0"/>
              <w:rPr>
                <w:sz w:val="20"/>
                <w:szCs w:val="22"/>
              </w:rPr>
            </w:pPr>
            <w:r w:rsidRPr="00391771">
              <w:rPr>
                <w:sz w:val="20"/>
                <w:szCs w:val="22"/>
              </w:rPr>
              <w:t xml:space="preserve">Mental Health Support: </w:t>
            </w:r>
          </w:p>
          <w:p w14:paraId="51E32C84" w14:textId="77777777" w:rsidR="00391771" w:rsidRPr="00391771" w:rsidRDefault="00391771" w:rsidP="00391771">
            <w:pPr>
              <w:spacing w:after="0"/>
              <w:rPr>
                <w:sz w:val="20"/>
                <w:szCs w:val="22"/>
              </w:rPr>
            </w:pPr>
            <w:r w:rsidRPr="00391771">
              <w:rPr>
                <w:sz w:val="20"/>
                <w:szCs w:val="22"/>
              </w:rPr>
              <w:t xml:space="preserve">Use of Place2Be and other trained staff to improve the mental health of our pupils and increase their readiness to learn. </w:t>
            </w:r>
          </w:p>
          <w:p w14:paraId="693127A2" w14:textId="385722B9" w:rsidR="00391771" w:rsidRDefault="00391771" w:rsidP="00391771">
            <w:pPr>
              <w:spacing w:after="0"/>
              <w:rPr>
                <w:sz w:val="20"/>
                <w:szCs w:val="22"/>
              </w:rPr>
            </w:pPr>
            <w:r w:rsidRPr="00391771">
              <w:rPr>
                <w:sz w:val="20"/>
                <w:szCs w:val="22"/>
              </w:rPr>
              <w:t>Improve children’s emotional well-being in order to engage better with learning in class.</w:t>
            </w:r>
          </w:p>
          <w:p w14:paraId="01DBF119" w14:textId="77777777" w:rsidR="00391771" w:rsidRDefault="00391771" w:rsidP="00391771">
            <w:pPr>
              <w:spacing w:after="0"/>
              <w:rPr>
                <w:sz w:val="20"/>
                <w:szCs w:val="22"/>
              </w:rPr>
            </w:pPr>
          </w:p>
          <w:p w14:paraId="2724C960" w14:textId="540544E7" w:rsidR="00391771" w:rsidRPr="00391771" w:rsidRDefault="00391771" w:rsidP="00391771">
            <w:pPr>
              <w:spacing w:after="0"/>
              <w:rPr>
                <w:sz w:val="20"/>
                <w:szCs w:val="22"/>
              </w:rPr>
            </w:pPr>
            <w:r w:rsidRPr="00391771">
              <w:rPr>
                <w:sz w:val="20"/>
                <w:szCs w:val="22"/>
              </w:rPr>
              <w:t>Attendance officer to monitor pupils and follow up quickly on absences. To improve attendance rates of all pupils (including disadvantaged) and reduce the percentage of persistent absentees.</w:t>
            </w:r>
          </w:p>
          <w:p w14:paraId="27BDABCF" w14:textId="72642512" w:rsidR="00E577E6" w:rsidRPr="006C26FD" w:rsidRDefault="00E577E6" w:rsidP="00391771">
            <w:pPr>
              <w:spacing w:after="0"/>
              <w:rPr>
                <w:sz w:val="20"/>
                <w:szCs w:val="22"/>
              </w:rPr>
            </w:pPr>
          </w:p>
        </w:tc>
        <w:tc>
          <w:tcPr>
            <w:tcW w:w="7364" w:type="dxa"/>
          </w:tcPr>
          <w:p w14:paraId="0182E579" w14:textId="508C05DA" w:rsidR="00E577E6" w:rsidRDefault="00E577E6" w:rsidP="009B1C9B">
            <w:pPr>
              <w:rPr>
                <w:sz w:val="20"/>
              </w:rPr>
            </w:pPr>
            <w:r w:rsidRPr="006C26FD">
              <w:rPr>
                <w:sz w:val="20"/>
              </w:rPr>
              <w:t>Wider strategies including Place2Be, Rest E</w:t>
            </w:r>
            <w:r w:rsidR="00105A40">
              <w:rPr>
                <w:sz w:val="20"/>
              </w:rPr>
              <w:t xml:space="preserve">asy and the attendance team had </w:t>
            </w:r>
            <w:r w:rsidRPr="006C26FD">
              <w:rPr>
                <w:sz w:val="20"/>
              </w:rPr>
              <w:t xml:space="preserve">a positive impact on the mental health and </w:t>
            </w:r>
            <w:r w:rsidR="00105A40" w:rsidRPr="006C26FD">
              <w:rPr>
                <w:sz w:val="20"/>
              </w:rPr>
              <w:t>well-being</w:t>
            </w:r>
            <w:r w:rsidR="00105A40">
              <w:rPr>
                <w:sz w:val="20"/>
              </w:rPr>
              <w:t xml:space="preserve"> of our children. They are</w:t>
            </w:r>
            <w:r w:rsidRPr="006C26FD">
              <w:rPr>
                <w:sz w:val="20"/>
              </w:rPr>
              <w:t xml:space="preserve"> in school and ready to learn. Where</w:t>
            </w:r>
            <w:r w:rsidR="00105A40">
              <w:rPr>
                <w:sz w:val="20"/>
              </w:rPr>
              <w:t xml:space="preserve"> children are struggling, they were</w:t>
            </w:r>
            <w:r w:rsidRPr="006C26FD">
              <w:rPr>
                <w:sz w:val="20"/>
              </w:rPr>
              <w:t xml:space="preserve"> supported and receive</w:t>
            </w:r>
            <w:r w:rsidR="00105A40">
              <w:rPr>
                <w:sz w:val="20"/>
              </w:rPr>
              <w:t>d</w:t>
            </w:r>
            <w:r w:rsidRPr="006C26FD">
              <w:rPr>
                <w:sz w:val="20"/>
              </w:rPr>
              <w:t xml:space="preserve"> the help they need</w:t>
            </w:r>
            <w:r w:rsidR="00105A40">
              <w:rPr>
                <w:sz w:val="20"/>
              </w:rPr>
              <w:t>ed</w:t>
            </w:r>
            <w:r w:rsidRPr="006C26FD">
              <w:rPr>
                <w:sz w:val="20"/>
              </w:rPr>
              <w:t>.</w:t>
            </w:r>
            <w:r w:rsidR="00105A40">
              <w:rPr>
                <w:sz w:val="20"/>
              </w:rPr>
              <w:t xml:space="preserve"> </w:t>
            </w:r>
          </w:p>
          <w:p w14:paraId="79E9D024" w14:textId="77777777" w:rsidR="009D7389" w:rsidRDefault="00105A40" w:rsidP="009B1C9B">
            <w:pPr>
              <w:rPr>
                <w:sz w:val="20"/>
              </w:rPr>
            </w:pPr>
            <w:r>
              <w:rPr>
                <w:sz w:val="20"/>
              </w:rPr>
              <w:t xml:space="preserve">Attainment of the children attending regular counselling sessions with Place2Be </w:t>
            </w:r>
            <w:r w:rsidR="008915AC">
              <w:rPr>
                <w:sz w:val="20"/>
              </w:rPr>
              <w:t>has improved over the course of the year. Reading improved by 15% and maths improved by 14%. Attainment in writing remained the same. This clearly demonstrates that supporting our children’s mental health needs did have a positive impact on attainment and will be something that we continue to invest in during the next academic year.</w:t>
            </w:r>
          </w:p>
          <w:p w14:paraId="1A2A88E4" w14:textId="2ED03114" w:rsidR="008915AC" w:rsidRPr="006C26FD" w:rsidRDefault="009D7389" w:rsidP="009B1C9B">
            <w:pPr>
              <w:rPr>
                <w:sz w:val="20"/>
              </w:rPr>
            </w:pPr>
            <w:r>
              <w:rPr>
                <w:sz w:val="20"/>
              </w:rPr>
              <w:t xml:space="preserve">Our </w:t>
            </w:r>
            <w:r w:rsidR="008915AC">
              <w:rPr>
                <w:sz w:val="20"/>
              </w:rPr>
              <w:t>Mental Health and</w:t>
            </w:r>
            <w:r>
              <w:rPr>
                <w:sz w:val="20"/>
              </w:rPr>
              <w:t xml:space="preserve"> Well Being lead continues to work </w:t>
            </w:r>
            <w:r w:rsidR="008915AC">
              <w:rPr>
                <w:sz w:val="20"/>
              </w:rPr>
              <w:t xml:space="preserve">with both staff and students on raising the profile of mental </w:t>
            </w:r>
            <w:r w:rsidR="00A1054E">
              <w:rPr>
                <w:sz w:val="20"/>
              </w:rPr>
              <w:t>health</w:t>
            </w:r>
            <w:r w:rsidR="008915AC">
              <w:rPr>
                <w:sz w:val="20"/>
              </w:rPr>
              <w:t xml:space="preserve"> and wellbeing across the school. Wellbeing Warriors have been appointed in each class and </w:t>
            </w:r>
            <w:r w:rsidR="00A1054E">
              <w:rPr>
                <w:sz w:val="20"/>
              </w:rPr>
              <w:t>work t</w:t>
            </w:r>
            <w:r w:rsidR="008915AC">
              <w:rPr>
                <w:sz w:val="20"/>
              </w:rPr>
              <w:t xml:space="preserve">o champion </w:t>
            </w:r>
            <w:r w:rsidR="00A1054E">
              <w:rPr>
                <w:sz w:val="20"/>
              </w:rPr>
              <w:t xml:space="preserve">the importance of healthy sleep, mindfulness, exercise and self-care. </w:t>
            </w:r>
          </w:p>
          <w:p w14:paraId="3274F679" w14:textId="7A358514" w:rsidR="007607FC" w:rsidRPr="006C26FD" w:rsidRDefault="008915AC" w:rsidP="00BA1A1A">
            <w:pPr>
              <w:spacing w:after="0"/>
              <w:rPr>
                <w:sz w:val="20"/>
              </w:rPr>
            </w:pPr>
            <w:r>
              <w:rPr>
                <w:sz w:val="20"/>
              </w:rPr>
              <w:t>Throughout the Autumn and Spring term</w:t>
            </w:r>
            <w:r w:rsidR="007607FC" w:rsidRPr="006C26FD">
              <w:rPr>
                <w:sz w:val="20"/>
              </w:rPr>
              <w:t xml:space="preserve">, the attendance team have ensured that our attendance has been in line with or above the national figure. </w:t>
            </w:r>
            <w:r>
              <w:rPr>
                <w:sz w:val="20"/>
              </w:rPr>
              <w:t xml:space="preserve">During the Summer term, attendance was impacted significantly by sickness and holidays. </w:t>
            </w:r>
            <w:r w:rsidR="007607FC" w:rsidRPr="006C26FD">
              <w:rPr>
                <w:sz w:val="20"/>
              </w:rPr>
              <w:t>Children from each class have been established as Attendance Monitors and take pride in continuing to raise the profile of attendance throughout school. For thos</w:t>
            </w:r>
            <w:r w:rsidR="00F241CB">
              <w:rPr>
                <w:sz w:val="20"/>
              </w:rPr>
              <w:t>e children that do fall below 90</w:t>
            </w:r>
            <w:r w:rsidR="007607FC" w:rsidRPr="006C26FD">
              <w:rPr>
                <w:sz w:val="20"/>
              </w:rPr>
              <w:t xml:space="preserve">% attendance, attendance cards </w:t>
            </w:r>
            <w:r>
              <w:rPr>
                <w:sz w:val="20"/>
              </w:rPr>
              <w:t>were</w:t>
            </w:r>
            <w:r w:rsidR="007607FC" w:rsidRPr="006C26FD">
              <w:rPr>
                <w:sz w:val="20"/>
              </w:rPr>
              <w:t xml:space="preserve"> issued. </w:t>
            </w:r>
            <w:r w:rsidR="00955B30">
              <w:rPr>
                <w:sz w:val="20"/>
              </w:rPr>
              <w:t>These have been shown to have a positive</w:t>
            </w:r>
            <w:r w:rsidR="007607FC" w:rsidRPr="006C26FD">
              <w:rPr>
                <w:sz w:val="20"/>
              </w:rPr>
              <w:t xml:space="preserve"> impact on </w:t>
            </w:r>
            <w:r w:rsidR="006C26FD" w:rsidRPr="006C26FD">
              <w:rPr>
                <w:sz w:val="20"/>
              </w:rPr>
              <w:t>improving</w:t>
            </w:r>
            <w:r w:rsidR="007607FC" w:rsidRPr="006C26FD">
              <w:rPr>
                <w:sz w:val="20"/>
              </w:rPr>
              <w:t xml:space="preserve"> attendance</w:t>
            </w:r>
            <w:r w:rsidR="00955B30">
              <w:rPr>
                <w:sz w:val="20"/>
              </w:rPr>
              <w:t xml:space="preserve"> with 5% fewer children</w:t>
            </w:r>
            <w:r w:rsidR="00F241CB">
              <w:rPr>
                <w:sz w:val="20"/>
              </w:rPr>
              <w:t xml:space="preserve"> on an </w:t>
            </w:r>
            <w:r w:rsidR="007607FC" w:rsidRPr="006C26FD">
              <w:rPr>
                <w:sz w:val="20"/>
              </w:rPr>
              <w:t>attendance</w:t>
            </w:r>
            <w:r w:rsidR="00F241CB">
              <w:rPr>
                <w:sz w:val="20"/>
              </w:rPr>
              <w:t xml:space="preserve"> card in the Sum</w:t>
            </w:r>
            <w:r w:rsidR="00955B30">
              <w:rPr>
                <w:sz w:val="20"/>
              </w:rPr>
              <w:t xml:space="preserve">mer term compared to the Spring. </w:t>
            </w:r>
            <w:r>
              <w:rPr>
                <w:sz w:val="20"/>
              </w:rPr>
              <w:t>Continuing to embed to roll of Attendance Monitors and reduce rates of persistence absenteeism is something we will continue to work on during the course of the next academic year.</w:t>
            </w:r>
          </w:p>
        </w:tc>
      </w:tr>
      <w:tr w:rsidR="009D7389" w:rsidRPr="006C26FD" w14:paraId="7ABA110B" w14:textId="77777777" w:rsidTr="00610D7A">
        <w:tc>
          <w:tcPr>
            <w:tcW w:w="2122" w:type="dxa"/>
          </w:tcPr>
          <w:p w14:paraId="4D75EABA" w14:textId="30042222" w:rsidR="009D7389" w:rsidRPr="00391771" w:rsidRDefault="009D7389" w:rsidP="00391771">
            <w:pPr>
              <w:spacing w:after="0"/>
              <w:rPr>
                <w:sz w:val="20"/>
                <w:szCs w:val="22"/>
              </w:rPr>
            </w:pPr>
          </w:p>
        </w:tc>
        <w:tc>
          <w:tcPr>
            <w:tcW w:w="7364" w:type="dxa"/>
          </w:tcPr>
          <w:p w14:paraId="3FBAC23A" w14:textId="77777777" w:rsidR="009D7389" w:rsidRPr="006C26FD" w:rsidRDefault="009D7389" w:rsidP="009B1C9B">
            <w:pPr>
              <w:rPr>
                <w:sz w:val="20"/>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720022"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F1FD347" w:rsidR="00720022" w:rsidRPr="00BD0A85" w:rsidRDefault="00720022" w:rsidP="00720022">
            <w:pPr>
              <w:pStyle w:val="TableRow"/>
              <w:rPr>
                <w:color w:val="auto"/>
              </w:rPr>
            </w:pPr>
            <w:r w:rsidRPr="000106CD">
              <w:t xml:space="preserve">Little </w:t>
            </w:r>
            <w:proofErr w:type="spellStart"/>
            <w:r w:rsidRPr="000106CD">
              <w:t>Wandle</w:t>
            </w:r>
            <w:proofErr w:type="spellEnd"/>
            <w:r w:rsidRPr="000106CD">
              <w:t xml:space="preserve"> Letters and Sounds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5B1BC81" w:rsidR="00720022" w:rsidRPr="00BD0A85" w:rsidRDefault="00720022" w:rsidP="00720022">
            <w:pPr>
              <w:pStyle w:val="TableRowCentered"/>
              <w:ind w:left="0"/>
              <w:jc w:val="left"/>
              <w:rPr>
                <w:color w:val="auto"/>
              </w:rPr>
            </w:pPr>
            <w:r w:rsidRPr="000106CD">
              <w:t>Big Cat Collins</w:t>
            </w:r>
          </w:p>
        </w:tc>
      </w:tr>
      <w:tr w:rsidR="00720022" w14:paraId="3FE830B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D3E6" w14:textId="2451A293" w:rsidR="00720022" w:rsidRPr="000106CD" w:rsidRDefault="00720022" w:rsidP="00720022">
            <w:pPr>
              <w:pStyle w:val="TableRow"/>
            </w:pPr>
            <w:r>
              <w:t xml:space="preserve">Read to Write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1AF0" w14:textId="21FAA3BD" w:rsidR="00720022" w:rsidRPr="000106CD" w:rsidRDefault="00720022" w:rsidP="00720022">
            <w:pPr>
              <w:pStyle w:val="TableRowCentered"/>
              <w:ind w:left="0"/>
              <w:jc w:val="left"/>
            </w:pPr>
            <w:r>
              <w:t>Literacy Counts</w:t>
            </w:r>
          </w:p>
        </w:tc>
      </w:tr>
      <w:tr w:rsidR="00BA1A1A" w14:paraId="54D0157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375B" w14:textId="66AEEA22" w:rsidR="00BA1A1A" w:rsidRDefault="00BA1A1A" w:rsidP="00720022">
            <w:pPr>
              <w:pStyle w:val="TableRow"/>
            </w:pPr>
            <w:r>
              <w:t>Steps to Read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79306" w14:textId="312FF4A6" w:rsidR="00BA1A1A" w:rsidRDefault="00BA1A1A" w:rsidP="00720022">
            <w:pPr>
              <w:pStyle w:val="TableRowCentered"/>
              <w:ind w:left="0"/>
              <w:jc w:val="left"/>
            </w:pPr>
            <w:r>
              <w:t>Literacy Counts</w:t>
            </w:r>
          </w:p>
        </w:tc>
      </w:tr>
      <w:tr w:rsidR="00720022" w14:paraId="52DEA0F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F3D76" w14:textId="31F93598" w:rsidR="00720022" w:rsidRPr="000106CD" w:rsidRDefault="00720022" w:rsidP="00720022">
            <w:pPr>
              <w:pStyle w:val="TableRow"/>
            </w:pPr>
            <w:r>
              <w:t>Maths No Problem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5C2C9" w14:textId="520471E4" w:rsidR="00720022" w:rsidRPr="000106CD" w:rsidRDefault="002B36DD" w:rsidP="00720022">
            <w:pPr>
              <w:pStyle w:val="TableRowCentered"/>
              <w:ind w:left="0"/>
              <w:jc w:val="left"/>
            </w:pPr>
            <w:r>
              <w:t>Maths No Problem</w:t>
            </w:r>
          </w:p>
        </w:tc>
      </w:tr>
      <w:tr w:rsidR="00720022" w14:paraId="1DFDA6F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8826" w14:textId="1EA1CD12" w:rsidR="00720022" w:rsidRDefault="00720022" w:rsidP="00720022">
            <w:pPr>
              <w:pStyle w:val="TableRow"/>
            </w:pPr>
            <w:r>
              <w:t>Vipers Comprehension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D54D" w14:textId="7D5A64E6" w:rsidR="00720022" w:rsidRPr="000106CD" w:rsidRDefault="00720022" w:rsidP="00720022">
            <w:pPr>
              <w:pStyle w:val="TableRowCentered"/>
              <w:ind w:left="0"/>
              <w:jc w:val="left"/>
            </w:pPr>
            <w:r>
              <w:t>Ed Shed</w:t>
            </w:r>
          </w:p>
        </w:tc>
      </w:tr>
      <w:tr w:rsidR="00720022" w14:paraId="1024EB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57A90" w14:textId="7412F1A8" w:rsidR="00720022" w:rsidRDefault="00720022" w:rsidP="00720022">
            <w:pPr>
              <w:pStyle w:val="TableRow"/>
            </w:pPr>
            <w: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BF40" w14:textId="61B68E94" w:rsidR="00720022" w:rsidRPr="000106CD" w:rsidRDefault="00720022" w:rsidP="00720022">
            <w:pPr>
              <w:pStyle w:val="TableRowCentered"/>
              <w:ind w:left="0"/>
              <w:jc w:val="left"/>
            </w:pPr>
            <w:r>
              <w:t>Ed Shed</w:t>
            </w:r>
          </w:p>
        </w:tc>
      </w:tr>
      <w:tr w:rsidR="00720022"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37C29E8" w:rsidR="00720022" w:rsidRPr="00BD0A85" w:rsidRDefault="00720022" w:rsidP="00720022">
            <w:pPr>
              <w:pStyle w:val="TableRow"/>
              <w:rPr>
                <w:color w:val="auto"/>
              </w:rPr>
            </w:pPr>
            <w:r>
              <w:rPr>
                <w:color w:val="auto"/>
              </w:rPr>
              <w:t>Emile Multiplication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A3797FB" w:rsidR="00720022" w:rsidRPr="00BD0A85" w:rsidRDefault="00720022" w:rsidP="00720022">
            <w:pPr>
              <w:pStyle w:val="TableRowCentered"/>
              <w:ind w:left="0"/>
              <w:jc w:val="left"/>
              <w:rPr>
                <w:color w:val="auto"/>
              </w:rPr>
            </w:pPr>
            <w:r>
              <w:rPr>
                <w:color w:val="auto"/>
              </w:rPr>
              <w:t>Emile Education</w:t>
            </w:r>
          </w:p>
        </w:tc>
      </w:tr>
      <w:tr w:rsidR="00720022" w14:paraId="0A55A7A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4F73" w14:textId="1F492402" w:rsidR="00720022" w:rsidRDefault="00720022" w:rsidP="00720022">
            <w:pPr>
              <w:pStyle w:val="TableRow"/>
            </w:pPr>
            <w:r w:rsidRPr="00720022">
              <w:t xml:space="preserve">Times Tables </w:t>
            </w:r>
            <w:proofErr w:type="spellStart"/>
            <w:r w:rsidRPr="00720022">
              <w:t>Rockstars</w:t>
            </w:r>
            <w:proofErr w:type="spellEnd"/>
            <w:r w:rsidRPr="00720022">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DAD2" w14:textId="413AE991" w:rsidR="00720022" w:rsidRPr="00942200" w:rsidRDefault="00720022" w:rsidP="00720022">
            <w:pPr>
              <w:pStyle w:val="TableRowCentered"/>
              <w:ind w:left="0"/>
              <w:jc w:val="left"/>
            </w:pPr>
            <w:r w:rsidRPr="00720022">
              <w:t>Maths Circle</w:t>
            </w:r>
          </w:p>
        </w:tc>
      </w:tr>
      <w:tr w:rsidR="00720022" w14:paraId="1F2E1AA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0A9A" w14:textId="165931D8" w:rsidR="00720022" w:rsidRPr="00720022" w:rsidRDefault="00720022" w:rsidP="00720022">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9508" w14:textId="76D9FC03" w:rsidR="00720022" w:rsidRPr="00720022" w:rsidRDefault="00720022" w:rsidP="00720022">
            <w:pPr>
              <w:pStyle w:val="TableRowCentered"/>
              <w:ind w:left="0"/>
              <w:jc w:val="left"/>
            </w:pPr>
            <w:r w:rsidRPr="00942200">
              <w:t>Nuffield</w:t>
            </w:r>
          </w:p>
        </w:tc>
      </w:tr>
      <w:tr w:rsidR="00720022" w14:paraId="21A2FAC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A647" w14:textId="7D4C8284" w:rsidR="00720022" w:rsidRPr="00720022" w:rsidRDefault="00720022" w:rsidP="00720022">
            <w:pPr>
              <w:pStyle w:val="TableRow"/>
            </w:pPr>
            <w:proofErr w:type="spellStart"/>
            <w:r w:rsidRPr="00A21248">
              <w:t>WellComm</w:t>
            </w:r>
            <w:proofErr w:type="spellEnd"/>
            <w:r w:rsidRPr="00A21248">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2C9C3" w14:textId="4DCDB3FB" w:rsidR="00720022" w:rsidRPr="00720022" w:rsidRDefault="00720022" w:rsidP="00720022">
            <w:pPr>
              <w:pStyle w:val="TableRowCentered"/>
              <w:ind w:left="0"/>
              <w:jc w:val="left"/>
            </w:pPr>
            <w:r w:rsidRPr="00A21248">
              <w:t>GL Assessments</w:t>
            </w:r>
          </w:p>
        </w:tc>
      </w:tr>
      <w:tr w:rsidR="00720022" w14:paraId="389F5FB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A7300" w14:textId="016AD15F" w:rsidR="00720022" w:rsidRPr="00720022" w:rsidRDefault="00720022" w:rsidP="00720022">
            <w:pPr>
              <w:pStyle w:val="TableRow"/>
            </w:pPr>
            <w:r w:rsidRPr="00A21248">
              <w:t xml:space="preserve">REST EASY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AB932" w14:textId="359214D0" w:rsidR="00720022" w:rsidRPr="00720022" w:rsidRDefault="00720022" w:rsidP="00720022">
            <w:pPr>
              <w:pStyle w:val="TableRowCentered"/>
              <w:ind w:left="0"/>
              <w:jc w:val="left"/>
            </w:pPr>
            <w:r w:rsidRPr="00A21248">
              <w:t>Emily Gearing</w:t>
            </w:r>
          </w:p>
        </w:tc>
      </w:tr>
    </w:tbl>
    <w:p w14:paraId="6C9486CC" w14:textId="77777777" w:rsidR="00E422D2" w:rsidRDefault="00E422D2">
      <w:pPr>
        <w:pStyle w:val="Heading2"/>
        <w:spacing w:before="600"/>
      </w:pPr>
    </w:p>
    <w:p w14:paraId="4E9AC30E" w14:textId="77777777" w:rsidR="00E422D2" w:rsidRDefault="00E422D2">
      <w:pPr>
        <w:suppressAutoHyphens w:val="0"/>
        <w:spacing w:after="0" w:line="240" w:lineRule="auto"/>
        <w:rPr>
          <w:b/>
          <w:color w:val="104F75"/>
          <w:sz w:val="32"/>
          <w:szCs w:val="32"/>
        </w:rPr>
      </w:pPr>
      <w:r>
        <w:br w:type="page"/>
      </w:r>
    </w:p>
    <w:p w14:paraId="2A7D5553" w14:textId="1904220B"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7B41F" w14:textId="1551EDC8" w:rsidR="006911B6" w:rsidRDefault="002B36DD" w:rsidP="007A066A">
            <w:pPr>
              <w:pStyle w:val="TableRowCentered"/>
              <w:jc w:val="left"/>
              <w:rPr>
                <w:color w:val="auto"/>
                <w:sz w:val="20"/>
              </w:rPr>
            </w:pPr>
            <w:r w:rsidRPr="007A066A">
              <w:rPr>
                <w:color w:val="auto"/>
                <w:sz w:val="20"/>
              </w:rPr>
              <w:t>For t</w:t>
            </w:r>
            <w:r w:rsidR="003329EC">
              <w:rPr>
                <w:color w:val="auto"/>
                <w:sz w:val="20"/>
              </w:rPr>
              <w:t xml:space="preserve">he academic year </w:t>
            </w:r>
            <w:r w:rsidR="00983B87">
              <w:rPr>
                <w:color w:val="auto"/>
                <w:sz w:val="20"/>
              </w:rPr>
              <w:t>202</w:t>
            </w:r>
            <w:r w:rsidR="00E422D2">
              <w:rPr>
                <w:color w:val="auto"/>
                <w:sz w:val="20"/>
              </w:rPr>
              <w:t>3</w:t>
            </w:r>
            <w:r w:rsidR="003329EC">
              <w:rPr>
                <w:color w:val="auto"/>
                <w:sz w:val="20"/>
              </w:rPr>
              <w:t>-2</w:t>
            </w:r>
            <w:r w:rsidR="00E422D2">
              <w:rPr>
                <w:color w:val="auto"/>
                <w:sz w:val="20"/>
              </w:rPr>
              <w:t>4</w:t>
            </w:r>
            <w:r w:rsidR="007A066A">
              <w:rPr>
                <w:color w:val="auto"/>
                <w:sz w:val="20"/>
              </w:rPr>
              <w:t xml:space="preserve"> we had</w:t>
            </w:r>
            <w:r w:rsidRPr="007A066A">
              <w:rPr>
                <w:color w:val="auto"/>
                <w:sz w:val="20"/>
              </w:rPr>
              <w:t xml:space="preserve"> two service children. </w:t>
            </w:r>
            <w:r w:rsidR="003329EC">
              <w:rPr>
                <w:color w:val="auto"/>
                <w:sz w:val="20"/>
              </w:rPr>
              <w:t xml:space="preserve">One child was a Year 1 child who received </w:t>
            </w:r>
            <w:r w:rsidR="002B5820">
              <w:rPr>
                <w:color w:val="auto"/>
                <w:sz w:val="20"/>
              </w:rPr>
              <w:t xml:space="preserve">additional </w:t>
            </w:r>
            <w:r w:rsidR="007A066A">
              <w:rPr>
                <w:color w:val="auto"/>
                <w:sz w:val="20"/>
              </w:rPr>
              <w:t>phonics intervention</w:t>
            </w:r>
            <w:r w:rsidR="003329EC">
              <w:rPr>
                <w:color w:val="auto"/>
                <w:sz w:val="20"/>
              </w:rPr>
              <w:t xml:space="preserve"> and maths support. </w:t>
            </w:r>
          </w:p>
          <w:p w14:paraId="39CFF7A2" w14:textId="77777777" w:rsidR="002B5820" w:rsidRDefault="002B5820" w:rsidP="007A066A">
            <w:pPr>
              <w:pStyle w:val="TableRowCentered"/>
              <w:jc w:val="left"/>
              <w:rPr>
                <w:color w:val="auto"/>
                <w:sz w:val="20"/>
              </w:rPr>
            </w:pPr>
          </w:p>
          <w:p w14:paraId="2A7D5559" w14:textId="1B5FFCC3" w:rsidR="00E66558" w:rsidRPr="002B36DD" w:rsidRDefault="006911B6" w:rsidP="003329EC">
            <w:pPr>
              <w:pStyle w:val="TableRowCentered"/>
              <w:jc w:val="left"/>
              <w:rPr>
                <w:color w:val="auto"/>
                <w:sz w:val="20"/>
              </w:rPr>
            </w:pPr>
            <w:r>
              <w:rPr>
                <w:color w:val="auto"/>
                <w:sz w:val="20"/>
              </w:rPr>
              <w:t>T</w:t>
            </w:r>
            <w:r w:rsidR="007A066A">
              <w:rPr>
                <w:color w:val="auto"/>
                <w:sz w:val="20"/>
              </w:rPr>
              <w:t xml:space="preserve">he other </w:t>
            </w:r>
            <w:r w:rsidR="003329EC">
              <w:rPr>
                <w:color w:val="auto"/>
                <w:sz w:val="20"/>
              </w:rPr>
              <w:t>was a child in Year 5</w:t>
            </w:r>
            <w:r>
              <w:rPr>
                <w:color w:val="auto"/>
                <w:sz w:val="20"/>
              </w:rPr>
              <w:t xml:space="preserve"> who arrived at Bedford Drive in </w:t>
            </w:r>
            <w:r w:rsidR="003329EC">
              <w:rPr>
                <w:color w:val="auto"/>
                <w:sz w:val="20"/>
              </w:rPr>
              <w:t xml:space="preserve">January </w:t>
            </w:r>
            <w:r w:rsidR="00983B87">
              <w:rPr>
                <w:color w:val="auto"/>
                <w:sz w:val="20"/>
              </w:rPr>
              <w:t>2024</w:t>
            </w:r>
            <w:r w:rsidR="003329EC">
              <w:rPr>
                <w:color w:val="auto"/>
                <w:sz w:val="20"/>
              </w:rPr>
              <w:t>. He received</w:t>
            </w:r>
            <w:r>
              <w:rPr>
                <w:color w:val="auto"/>
                <w:sz w:val="20"/>
              </w:rPr>
              <w:t xml:space="preserve"> additional</w:t>
            </w:r>
            <w:r w:rsidR="003329EC">
              <w:rPr>
                <w:color w:val="auto"/>
                <w:sz w:val="20"/>
              </w:rPr>
              <w:t xml:space="preserve"> in class support with writing and took part in a handwriting intervention to support his letter formation.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ECA4" w14:textId="014749D1" w:rsidR="00260D7A" w:rsidRDefault="003329EC" w:rsidP="00371D13">
            <w:pPr>
              <w:pStyle w:val="TableRowCentered"/>
              <w:jc w:val="left"/>
              <w:rPr>
                <w:color w:val="auto"/>
                <w:sz w:val="20"/>
              </w:rPr>
            </w:pPr>
            <w:r>
              <w:rPr>
                <w:color w:val="auto"/>
                <w:sz w:val="20"/>
              </w:rPr>
              <w:t>The child in Year 1 child</w:t>
            </w:r>
            <w:r w:rsidR="002B5820" w:rsidRPr="002B5820">
              <w:rPr>
                <w:color w:val="auto"/>
                <w:sz w:val="20"/>
              </w:rPr>
              <w:t xml:space="preserve"> </w:t>
            </w:r>
            <w:r>
              <w:rPr>
                <w:color w:val="auto"/>
                <w:sz w:val="20"/>
              </w:rPr>
              <w:t>settled</w:t>
            </w:r>
            <w:r w:rsidR="002B5820">
              <w:rPr>
                <w:color w:val="auto"/>
                <w:sz w:val="20"/>
              </w:rPr>
              <w:t xml:space="preserve"> well</w:t>
            </w:r>
            <w:r>
              <w:rPr>
                <w:color w:val="auto"/>
                <w:sz w:val="20"/>
              </w:rPr>
              <w:t xml:space="preserve"> into KS1</w:t>
            </w:r>
            <w:r w:rsidR="002B5820">
              <w:rPr>
                <w:color w:val="auto"/>
                <w:sz w:val="20"/>
              </w:rPr>
              <w:t xml:space="preserve"> and thrived during the academic year. By the end of the year</w:t>
            </w:r>
            <w:r w:rsidR="00D3002B">
              <w:rPr>
                <w:color w:val="auto"/>
                <w:sz w:val="20"/>
              </w:rPr>
              <w:t>,</w:t>
            </w:r>
            <w:r>
              <w:rPr>
                <w:color w:val="auto"/>
                <w:sz w:val="20"/>
              </w:rPr>
              <w:t xml:space="preserve"> she was working at the expected standard in reading and writing and was working towards in maths. Continuing to support her attainment in maths will be a priority while she is in Year 2.</w:t>
            </w:r>
          </w:p>
          <w:p w14:paraId="2A7D555C" w14:textId="59A2CDE4" w:rsidR="00260D7A" w:rsidRPr="00BD0A85" w:rsidRDefault="00260D7A" w:rsidP="00260D7A">
            <w:pPr>
              <w:pStyle w:val="TableRowCentered"/>
              <w:jc w:val="left"/>
              <w:rPr>
                <w:color w:val="auto"/>
              </w:rPr>
            </w:pPr>
            <w:r>
              <w:rPr>
                <w:color w:val="auto"/>
                <w:sz w:val="20"/>
              </w:rPr>
              <w:t>The child in Year 4 also achieved well and by the end of the year was working at the expected standard for reading and maths. He achieved close to the expected standard for writing. Moving into the next academic year</w:t>
            </w:r>
            <w:r w:rsidR="00D3002B">
              <w:rPr>
                <w:color w:val="auto"/>
                <w:sz w:val="20"/>
              </w:rPr>
              <w:t>,</w:t>
            </w:r>
            <w:r>
              <w:rPr>
                <w:color w:val="auto"/>
                <w:sz w:val="20"/>
              </w:rPr>
              <w:t xml:space="preserve"> </w:t>
            </w:r>
            <w:r w:rsidR="00960866">
              <w:rPr>
                <w:color w:val="auto"/>
                <w:sz w:val="20"/>
              </w:rPr>
              <w:t xml:space="preserve">he will continue to receive additional in class support with his writing. </w:t>
            </w:r>
          </w:p>
        </w:tc>
        <w:bookmarkStart w:id="18" w:name="_GoBack"/>
        <w:bookmarkEnd w:id="18"/>
      </w:tr>
    </w:tbl>
    <w:bookmarkEnd w:id="17"/>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69D1C44F" w:rsidR="00E66558" w:rsidRPr="006802ED" w:rsidRDefault="00E66558" w:rsidP="00BD0A85">
            <w:pPr>
              <w:spacing w:before="120" w:after="120"/>
              <w:jc w:val="center"/>
              <w:rPr>
                <w:i/>
                <w:iCs/>
                <w:color w:val="FF0000"/>
              </w:rPr>
            </w:pPr>
          </w:p>
        </w:tc>
      </w:tr>
      <w:bookmarkEnd w:id="14"/>
      <w:bookmarkEnd w:id="15"/>
      <w:bookmarkEnd w:id="16"/>
    </w:tbl>
    <w:p w14:paraId="2A7D5564" w14:textId="77777777" w:rsidR="00E66558" w:rsidRDefault="00E66558"/>
    <w:sectPr w:rsidR="00E66558" w:rsidSect="00D8007E">
      <w:footerReference w:type="default" r:id="rId17"/>
      <w:pgSz w:w="11906" w:h="16838"/>
      <w:pgMar w:top="1134" w:right="1276" w:bottom="1134" w:left="1134" w:header="709" w:footer="709" w:gutter="0"/>
      <w:pgBorders w:offsetFrom="page">
        <w:top w:val="single" w:sz="48" w:space="24" w:color="00B050"/>
        <w:left w:val="single" w:sz="48" w:space="24" w:color="00B050"/>
        <w:bottom w:val="single" w:sz="48" w:space="24" w:color="00B050"/>
        <w:right w:val="single" w:sz="48" w:space="24" w:color="00B050"/>
      </w:pgBorders>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B983" w14:textId="77777777" w:rsidR="00983B87" w:rsidRDefault="00983B87">
      <w:pPr>
        <w:spacing w:after="0" w:line="240" w:lineRule="auto"/>
      </w:pPr>
      <w:r>
        <w:separator/>
      </w:r>
    </w:p>
  </w:endnote>
  <w:endnote w:type="continuationSeparator" w:id="0">
    <w:p w14:paraId="0EAF9A04" w14:textId="77777777" w:rsidR="00983B87" w:rsidRDefault="0098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7F1E8C9" w:rsidR="00983B87" w:rsidRDefault="00983B87">
    <w:pPr>
      <w:pStyle w:val="Footer"/>
      <w:ind w:firstLine="4513"/>
    </w:pPr>
    <w:r>
      <w:fldChar w:fldCharType="begin"/>
    </w:r>
    <w:r>
      <w:instrText xml:space="preserve"> PAGE </w:instrText>
    </w:r>
    <w:r>
      <w:fldChar w:fldCharType="separate"/>
    </w:r>
    <w:r w:rsidR="00E422D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BE6B" w14:textId="77777777" w:rsidR="00983B87" w:rsidRDefault="00983B87">
      <w:pPr>
        <w:spacing w:after="0" w:line="240" w:lineRule="auto"/>
      </w:pPr>
      <w:r>
        <w:separator/>
      </w:r>
    </w:p>
  </w:footnote>
  <w:footnote w:type="continuationSeparator" w:id="0">
    <w:p w14:paraId="4934871B" w14:textId="77777777" w:rsidR="00983B87" w:rsidRDefault="00983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37A40F2"/>
    <w:multiLevelType w:val="hybridMultilevel"/>
    <w:tmpl w:val="83340934"/>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029203C"/>
    <w:multiLevelType w:val="hybridMultilevel"/>
    <w:tmpl w:val="E8B884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AA2F98"/>
    <w:multiLevelType w:val="hybridMultilevel"/>
    <w:tmpl w:val="AA68C5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684023FF"/>
    <w:multiLevelType w:val="hybridMultilevel"/>
    <w:tmpl w:val="44CE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357C09"/>
    <w:multiLevelType w:val="hybridMultilevel"/>
    <w:tmpl w:val="C7BC1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9"/>
  </w:num>
  <w:num w:numId="14">
    <w:abstractNumId w:val="8"/>
  </w:num>
  <w:num w:numId="15">
    <w:abstractNumId w:val="10"/>
  </w:num>
  <w:num w:numId="16">
    <w:abstractNumId w:val="1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736A"/>
    <w:rsid w:val="00066B73"/>
    <w:rsid w:val="00105A40"/>
    <w:rsid w:val="00120AB1"/>
    <w:rsid w:val="00124D80"/>
    <w:rsid w:val="00216868"/>
    <w:rsid w:val="00242EBD"/>
    <w:rsid w:val="00260D7A"/>
    <w:rsid w:val="00276C40"/>
    <w:rsid w:val="00286560"/>
    <w:rsid w:val="00290BBB"/>
    <w:rsid w:val="002B36DD"/>
    <w:rsid w:val="002B5820"/>
    <w:rsid w:val="00316855"/>
    <w:rsid w:val="003329EC"/>
    <w:rsid w:val="003353EE"/>
    <w:rsid w:val="003552CB"/>
    <w:rsid w:val="00371D13"/>
    <w:rsid w:val="00377FF2"/>
    <w:rsid w:val="00382E87"/>
    <w:rsid w:val="0039108C"/>
    <w:rsid w:val="00391771"/>
    <w:rsid w:val="003B073E"/>
    <w:rsid w:val="003F7C01"/>
    <w:rsid w:val="004044AA"/>
    <w:rsid w:val="004513B7"/>
    <w:rsid w:val="004655AE"/>
    <w:rsid w:val="0047485D"/>
    <w:rsid w:val="004930C3"/>
    <w:rsid w:val="004D10DB"/>
    <w:rsid w:val="005721C9"/>
    <w:rsid w:val="005B0614"/>
    <w:rsid w:val="005D1512"/>
    <w:rsid w:val="005E2865"/>
    <w:rsid w:val="00610D7A"/>
    <w:rsid w:val="00672C4F"/>
    <w:rsid w:val="006802ED"/>
    <w:rsid w:val="006812DC"/>
    <w:rsid w:val="006911B6"/>
    <w:rsid w:val="006C26FD"/>
    <w:rsid w:val="006D4BEA"/>
    <w:rsid w:val="006E0FF7"/>
    <w:rsid w:val="006E7FB1"/>
    <w:rsid w:val="007003BF"/>
    <w:rsid w:val="00720022"/>
    <w:rsid w:val="00741B9E"/>
    <w:rsid w:val="00755269"/>
    <w:rsid w:val="007607FC"/>
    <w:rsid w:val="00796C35"/>
    <w:rsid w:val="0079782B"/>
    <w:rsid w:val="007A066A"/>
    <w:rsid w:val="007B71BD"/>
    <w:rsid w:val="007C2F04"/>
    <w:rsid w:val="007D2DFB"/>
    <w:rsid w:val="007E6BD6"/>
    <w:rsid w:val="00805EAC"/>
    <w:rsid w:val="00816FCA"/>
    <w:rsid w:val="008533E2"/>
    <w:rsid w:val="00883559"/>
    <w:rsid w:val="008915AC"/>
    <w:rsid w:val="008B20BB"/>
    <w:rsid w:val="008B58DB"/>
    <w:rsid w:val="008E465D"/>
    <w:rsid w:val="00907DAC"/>
    <w:rsid w:val="00955B30"/>
    <w:rsid w:val="00960866"/>
    <w:rsid w:val="00983B87"/>
    <w:rsid w:val="009A143B"/>
    <w:rsid w:val="009B0314"/>
    <w:rsid w:val="009B1C9B"/>
    <w:rsid w:val="009C4774"/>
    <w:rsid w:val="009C4E0F"/>
    <w:rsid w:val="009D360F"/>
    <w:rsid w:val="009D623B"/>
    <w:rsid w:val="009D71E8"/>
    <w:rsid w:val="009D7389"/>
    <w:rsid w:val="009E4159"/>
    <w:rsid w:val="00A0108A"/>
    <w:rsid w:val="00A1054E"/>
    <w:rsid w:val="00A13DDE"/>
    <w:rsid w:val="00A52692"/>
    <w:rsid w:val="00A55E3B"/>
    <w:rsid w:val="00B05F8C"/>
    <w:rsid w:val="00B254BD"/>
    <w:rsid w:val="00B40E8D"/>
    <w:rsid w:val="00BA1A1A"/>
    <w:rsid w:val="00BD0A85"/>
    <w:rsid w:val="00BD7B70"/>
    <w:rsid w:val="00C64D11"/>
    <w:rsid w:val="00C70E6C"/>
    <w:rsid w:val="00CA2742"/>
    <w:rsid w:val="00CE1BD6"/>
    <w:rsid w:val="00D3002B"/>
    <w:rsid w:val="00D33FE5"/>
    <w:rsid w:val="00D740C1"/>
    <w:rsid w:val="00D8007E"/>
    <w:rsid w:val="00D90289"/>
    <w:rsid w:val="00DB3613"/>
    <w:rsid w:val="00E06820"/>
    <w:rsid w:val="00E32245"/>
    <w:rsid w:val="00E422D2"/>
    <w:rsid w:val="00E577E6"/>
    <w:rsid w:val="00E66558"/>
    <w:rsid w:val="00ED67F9"/>
    <w:rsid w:val="00EF52C2"/>
    <w:rsid w:val="00F16EF6"/>
    <w:rsid w:val="00F241CB"/>
    <w:rsid w:val="00F426D9"/>
    <w:rsid w:val="00F5685C"/>
    <w:rsid w:val="00FB2FC0"/>
    <w:rsid w:val="00FC12F6"/>
    <w:rsid w:val="00FC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C64D11"/>
    <w:rPr>
      <w:color w:val="808080"/>
    </w:rPr>
  </w:style>
  <w:style w:type="paragraph" w:styleId="NoSpacing">
    <w:name w:val="No Spacing"/>
    <w:link w:val="NoSpacingChar"/>
    <w:uiPriority w:val="1"/>
    <w:qFormat/>
    <w:rsid w:val="00D8007E"/>
    <w:pPr>
      <w:autoSpaceDN/>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8007E"/>
    <w:rPr>
      <w:rFonts w:asciiTheme="minorHAnsi" w:eastAsiaTheme="minorEastAsia" w:hAnsiTheme="minorHAnsi" w:cstheme="minorBidi"/>
      <w:sz w:val="22"/>
      <w:szCs w:val="22"/>
      <w:lang w:val="en-US" w:eastAsia="en-US"/>
    </w:rPr>
  </w:style>
  <w:style w:type="table" w:styleId="TableGrid">
    <w:name w:val="Table Grid"/>
    <w:basedOn w:val="TableNormal"/>
    <w:uiPriority w:val="39"/>
    <w:rsid w:val="00F16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mastery-learning" TargetMode="Externa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behaviour-interven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social-and-emotional-learning" TargetMode="External"/><Relationship Id="rId10" Type="http://schemas.openxmlformats.org/officeDocument/2006/relationships/hyperlink" Target="https://educationendowmentfoundation.org.uk/education-evidence/teaching-learning-toolkit/oral-language-interven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ice21.org/oracy/" TargetMode="External"/><Relationship Id="rId14" Type="http://schemas.openxmlformats.org/officeDocument/2006/relationships/hyperlink" Target="https://educationendowmentfoundation.org.uk/education-evidence/teaching-learning-toolkit/parental-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Steph Alston</cp:lastModifiedBy>
  <cp:revision>2</cp:revision>
  <cp:lastPrinted>2021-10-12T16:01:00Z</cp:lastPrinted>
  <dcterms:created xsi:type="dcterms:W3CDTF">2023-12-05T14:33:00Z</dcterms:created>
  <dcterms:modified xsi:type="dcterms:W3CDTF">2023-12-05T14:33:00Z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